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9126" w14:textId="3A017351" w:rsidR="008E179D" w:rsidRPr="00E432C0" w:rsidRDefault="00BE35D0" w:rsidP="00BE35D0">
      <w:pPr>
        <w:spacing w:after="120" w:line="240" w:lineRule="auto"/>
        <w:jc w:val="center"/>
        <w:rPr>
          <w:rFonts w:ascii="Times New Roman" w:eastAsia="Times New Roman" w:hAnsi="Times New Roman" w:cs="Times New Roman"/>
          <w:b/>
          <w:sz w:val="26"/>
          <w:szCs w:val="26"/>
          <w:u w:val="single"/>
        </w:rPr>
      </w:pPr>
      <w:r>
        <w:rPr>
          <w:rFonts w:ascii="Times New Roman" w:hAnsi="Times New Roman"/>
          <w:b/>
          <w:sz w:val="26"/>
          <w:u w:val="single"/>
        </w:rPr>
        <w:t>ANNEXE 3 – TAUX APPLICABLES</w:t>
      </w:r>
    </w:p>
    <w:p w14:paraId="4C3F9129" w14:textId="201234E5" w:rsidR="00A91261" w:rsidRPr="00E432C0" w:rsidRDefault="00A91261" w:rsidP="00AD34F3">
      <w:pPr>
        <w:spacing w:after="120" w:line="240" w:lineRule="auto"/>
        <w:jc w:val="both"/>
        <w:rPr>
          <w:rFonts w:ascii="Times New Roman" w:hAnsi="Times New Roman" w:cs="Times New Roman"/>
          <w:b/>
          <w:sz w:val="24"/>
          <w:szCs w:val="24"/>
          <w:highlight w:val="cyan"/>
        </w:rPr>
      </w:pPr>
    </w:p>
    <w:p w14:paraId="3E5D061C" w14:textId="04C9F4B7" w:rsidR="00A55CB7" w:rsidRPr="00E432C0" w:rsidRDefault="00A55CB7" w:rsidP="0031107B">
      <w:pPr>
        <w:pStyle w:val="Titre1"/>
        <w:rPr>
          <w:u w:val="single"/>
        </w:rPr>
      </w:pPr>
      <w:r>
        <w:rPr>
          <w:u w:val="single"/>
        </w:rPr>
        <w:t>VOLONTARIAT</w:t>
      </w:r>
    </w:p>
    <w:p w14:paraId="4C3F912B" w14:textId="09949EEE" w:rsidR="008E179D" w:rsidRPr="00E432C0" w:rsidRDefault="008E179D">
      <w:pPr>
        <w:pStyle w:val="Titre2"/>
      </w:pPr>
      <w:r>
        <w:t>Déplacements</w:t>
      </w:r>
    </w:p>
    <w:p w14:paraId="58C08170" w14:textId="77777777" w:rsidR="00A55CB7" w:rsidRPr="00E432C0" w:rsidRDefault="00A55CB7" w:rsidP="00A55CB7">
      <w:pPr>
        <w:spacing w:after="120" w:line="240" w:lineRule="auto"/>
        <w:ind w:left="360"/>
        <w:jc w:val="both"/>
        <w:rPr>
          <w:rFonts w:ascii="Times New Roman" w:hAnsi="Times New Roman"/>
          <w:sz w:val="24"/>
          <w:szCs w:val="24"/>
        </w:rPr>
      </w:pPr>
      <w:r>
        <w:rPr>
          <w:rFonts w:ascii="Times New Roman" w:hAnsi="Times New Roman"/>
          <w:sz w:val="24"/>
        </w:rPr>
        <w:t xml:space="preserve">Nota bene: la «distance parcourue» représente la distance entre le lieu d’origine et l’endroit où se déroule l’activité, tandis que le «montant» couvre la contribution au voyage aller-retour, à destination </w:t>
      </w:r>
      <w:r>
        <w:rPr>
          <w:rFonts w:ascii="Times New Roman" w:hAnsi="Times New Roman"/>
          <w:sz w:val="24"/>
          <w:u w:val="single"/>
        </w:rPr>
        <w:t>et</w:t>
      </w:r>
      <w:r>
        <w:rPr>
          <w:rFonts w:ascii="Times New Roman" w:hAnsi="Times New Roman"/>
          <w:sz w:val="24"/>
        </w:rPr>
        <w:t xml:space="preserve"> au départ de l’endroit où se déroule l’activité.</w:t>
      </w:r>
    </w:p>
    <w:p w14:paraId="206178DF" w14:textId="77777777" w:rsidR="00A55CB7" w:rsidRPr="00E432C0" w:rsidRDefault="00A55CB7" w:rsidP="0031107B">
      <w:pPr>
        <w:spacing w:after="120" w:line="240" w:lineRule="auto"/>
        <w:ind w:left="2880" w:firstLine="720"/>
        <w:jc w:val="both"/>
        <w:rPr>
          <w:rFonts w:ascii="Times New Roman" w:hAnsi="Times New Roman" w:cs="Times New Roman"/>
        </w:rPr>
      </w:pPr>
    </w:p>
    <w:p w14:paraId="6C4BE73F" w14:textId="1D4742B9" w:rsidR="00A55CB7" w:rsidRPr="00E432C0" w:rsidRDefault="00AD34F3" w:rsidP="0031107B">
      <w:pPr>
        <w:spacing w:after="120" w:line="240" w:lineRule="auto"/>
        <w:ind w:left="2880" w:firstLine="720"/>
        <w:jc w:val="both"/>
        <w:rPr>
          <w:rFonts w:ascii="Times New Roman" w:hAnsi="Times New Roman" w:cs="Times New Roman"/>
          <w:u w:val="single"/>
        </w:rPr>
      </w:pPr>
      <w:r>
        <w:rPr>
          <w:rFonts w:ascii="Times New Roman" w:hAnsi="Times New Roman"/>
          <w:u w:val="single"/>
        </w:rPr>
        <w:t>Tableau 1 – Taux applicables aux déplacements</w:t>
      </w:r>
    </w:p>
    <w:p w14:paraId="51D76855" w14:textId="77777777" w:rsidR="00A55CB7" w:rsidRPr="00E432C0" w:rsidRDefault="00A55CB7" w:rsidP="0031107B">
      <w:pPr>
        <w:spacing w:after="120" w:line="240" w:lineRule="auto"/>
        <w:ind w:left="2880" w:firstLine="720"/>
        <w:jc w:val="both"/>
        <w:rPr>
          <w:rFonts w:ascii="Times New Roman" w:hAnsi="Times New Roman" w:cs="Times New Roman"/>
          <w:u w:val="single"/>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76"/>
        <w:gridCol w:w="1688"/>
        <w:gridCol w:w="1687"/>
      </w:tblGrid>
      <w:tr w:rsidR="00613C12" w:rsidRPr="00894694" w14:paraId="3699D77D" w14:textId="346110B5" w:rsidTr="00613C12">
        <w:trPr>
          <w:trHeight w:val="519"/>
          <w:jc w:val="center"/>
        </w:trPr>
        <w:tc>
          <w:tcPr>
            <w:tcW w:w="5000" w:type="pct"/>
            <w:gridSpan w:val="3"/>
            <w:tcBorders>
              <w:bottom w:val="nil"/>
            </w:tcBorders>
            <w:shd w:val="clear" w:color="auto" w:fill="BFBFBF" w:themeFill="background1" w:themeFillShade="BF"/>
            <w:vAlign w:val="center"/>
          </w:tcPr>
          <w:p w14:paraId="0ACABA63" w14:textId="0F5F7E03" w:rsidR="00613C12" w:rsidRPr="00E432C0" w:rsidRDefault="00613C12"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Taux applicables aux déplacements (en EUR par participant)</w:t>
            </w:r>
          </w:p>
        </w:tc>
      </w:tr>
      <w:tr w:rsidR="004C15B3" w:rsidRPr="00894694" w14:paraId="4C3F9131" w14:textId="7B600895" w:rsidTr="003808AE">
        <w:trPr>
          <w:trHeight w:val="584"/>
          <w:jc w:val="center"/>
        </w:trPr>
        <w:tc>
          <w:tcPr>
            <w:tcW w:w="2343" w:type="pct"/>
            <w:shd w:val="clear" w:color="auto" w:fill="BFBFBF" w:themeFill="background1" w:themeFillShade="BF"/>
            <w:vAlign w:val="center"/>
          </w:tcPr>
          <w:p w14:paraId="4C3F912F" w14:textId="2C8006CC" w:rsidR="004C15B3" w:rsidRPr="00E432C0"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Distances parcourues</w:t>
            </w:r>
            <w:r>
              <w:rPr>
                <w:rStyle w:val="Appelnotedebasdep"/>
                <w:rFonts w:ascii="Times New Roman" w:eastAsia="Times New Roman" w:hAnsi="Times New Roman" w:cs="Times New Roman"/>
                <w:b/>
                <w:bCs/>
                <w:color w:val="000000"/>
                <w:sz w:val="18"/>
                <w:szCs w:val="18"/>
                <w:lang w:eastAsia="en-GB"/>
              </w:rPr>
              <w:footnoteReference w:id="1"/>
            </w:r>
          </w:p>
        </w:tc>
        <w:tc>
          <w:tcPr>
            <w:tcW w:w="1329" w:type="pct"/>
            <w:shd w:val="clear" w:color="auto" w:fill="BFBFBF" w:themeFill="background1" w:themeFillShade="BF"/>
            <w:vAlign w:val="center"/>
          </w:tcPr>
          <w:p w14:paraId="4C3F9130" w14:textId="7F8F0120" w:rsidR="004C15B3" w:rsidRPr="00E432C0"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Montant (standard)</w:t>
            </w:r>
          </w:p>
        </w:tc>
        <w:tc>
          <w:tcPr>
            <w:tcW w:w="1328" w:type="pct"/>
            <w:shd w:val="clear" w:color="auto" w:fill="BFBFBF" w:themeFill="background1" w:themeFillShade="BF"/>
          </w:tcPr>
          <w:p w14:paraId="2E3642A0" w14:textId="76399D30" w:rsidR="004C15B3" w:rsidRPr="00E432C0" w:rsidRDefault="004C15B3" w:rsidP="004C15B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Montant (moyen de transport écoresponsable)</w:t>
            </w:r>
          </w:p>
        </w:tc>
      </w:tr>
      <w:tr w:rsidR="004C15B3" w:rsidRPr="00894694" w14:paraId="4C3F9134" w14:textId="72A6CFC2" w:rsidTr="00B44A05">
        <w:trPr>
          <w:trHeight w:val="236"/>
          <w:jc w:val="center"/>
        </w:trPr>
        <w:tc>
          <w:tcPr>
            <w:tcW w:w="2343" w:type="pct"/>
            <w:vAlign w:val="center"/>
          </w:tcPr>
          <w:p w14:paraId="4C3F9132" w14:textId="31321C46" w:rsidR="004C15B3" w:rsidRPr="00E432C0" w:rsidRDefault="004C15B3" w:rsidP="00881FFE">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0 et 99 km</w:t>
            </w:r>
          </w:p>
        </w:tc>
        <w:tc>
          <w:tcPr>
            <w:tcW w:w="1329" w:type="pct"/>
            <w:vAlign w:val="center"/>
          </w:tcPr>
          <w:p w14:paraId="4C3F9133" w14:textId="273CEC13"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23</w:t>
            </w:r>
          </w:p>
        </w:tc>
        <w:tc>
          <w:tcPr>
            <w:tcW w:w="1328" w:type="pct"/>
          </w:tcPr>
          <w:p w14:paraId="047D4B4D" w14:textId="0F85B308" w:rsidR="004C15B3" w:rsidRPr="00E432C0" w:rsidDel="004C15B3"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4C15B3" w:rsidRPr="00894694" w14:paraId="4C3F9137" w14:textId="55BE8C55" w:rsidTr="00B44A05">
        <w:trPr>
          <w:trHeight w:val="236"/>
          <w:jc w:val="center"/>
        </w:trPr>
        <w:tc>
          <w:tcPr>
            <w:tcW w:w="2343" w:type="pct"/>
            <w:vAlign w:val="center"/>
          </w:tcPr>
          <w:p w14:paraId="4C3F9135" w14:textId="7D276A3B"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100 et 499 km</w:t>
            </w:r>
          </w:p>
        </w:tc>
        <w:tc>
          <w:tcPr>
            <w:tcW w:w="1329" w:type="pct"/>
            <w:vAlign w:val="center"/>
          </w:tcPr>
          <w:p w14:paraId="4C3F9136" w14:textId="01EFA37D"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180</w:t>
            </w:r>
          </w:p>
        </w:tc>
        <w:tc>
          <w:tcPr>
            <w:tcW w:w="1328" w:type="pct"/>
          </w:tcPr>
          <w:p w14:paraId="0A1A7E09" w14:textId="17039935" w:rsidR="004C15B3" w:rsidRPr="00E432C0"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210</w:t>
            </w:r>
          </w:p>
        </w:tc>
      </w:tr>
      <w:tr w:rsidR="004C15B3" w:rsidRPr="00894694" w14:paraId="4C3F913A" w14:textId="3561DAFD" w:rsidTr="00B44A05">
        <w:trPr>
          <w:trHeight w:val="268"/>
          <w:jc w:val="center"/>
        </w:trPr>
        <w:tc>
          <w:tcPr>
            <w:tcW w:w="2343" w:type="pct"/>
            <w:vAlign w:val="center"/>
          </w:tcPr>
          <w:p w14:paraId="4C3F9138" w14:textId="2163C8DC"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500 et 1 999 km</w:t>
            </w:r>
          </w:p>
        </w:tc>
        <w:tc>
          <w:tcPr>
            <w:tcW w:w="1329" w:type="pct"/>
            <w:vAlign w:val="center"/>
          </w:tcPr>
          <w:p w14:paraId="4C3F9139" w14:textId="4CAA1589"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275</w:t>
            </w:r>
          </w:p>
        </w:tc>
        <w:tc>
          <w:tcPr>
            <w:tcW w:w="1328" w:type="pct"/>
          </w:tcPr>
          <w:p w14:paraId="061AECD6" w14:textId="64341ABF"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320</w:t>
            </w:r>
          </w:p>
        </w:tc>
      </w:tr>
      <w:tr w:rsidR="004C15B3" w:rsidRPr="00894694" w14:paraId="4C3F913D" w14:textId="51FC87D0" w:rsidTr="00B44A05">
        <w:trPr>
          <w:trHeight w:val="272"/>
          <w:jc w:val="center"/>
        </w:trPr>
        <w:tc>
          <w:tcPr>
            <w:tcW w:w="2343" w:type="pct"/>
            <w:vAlign w:val="center"/>
          </w:tcPr>
          <w:p w14:paraId="4C3F913B" w14:textId="5FCF96CA"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2 000 et 2 999 km</w:t>
            </w:r>
          </w:p>
        </w:tc>
        <w:tc>
          <w:tcPr>
            <w:tcW w:w="1329" w:type="pct"/>
            <w:vAlign w:val="center"/>
          </w:tcPr>
          <w:p w14:paraId="4C3F913C" w14:textId="7E084F93"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360</w:t>
            </w:r>
          </w:p>
        </w:tc>
        <w:tc>
          <w:tcPr>
            <w:tcW w:w="1328" w:type="pct"/>
          </w:tcPr>
          <w:p w14:paraId="5FF307A2" w14:textId="1652F8D4"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410</w:t>
            </w:r>
          </w:p>
        </w:tc>
      </w:tr>
      <w:tr w:rsidR="004C15B3" w:rsidRPr="00894694" w14:paraId="4C3F9140" w14:textId="0978C039" w:rsidTr="00B44A05">
        <w:trPr>
          <w:trHeight w:val="262"/>
          <w:jc w:val="center"/>
        </w:trPr>
        <w:tc>
          <w:tcPr>
            <w:tcW w:w="2343" w:type="pct"/>
            <w:vAlign w:val="center"/>
          </w:tcPr>
          <w:p w14:paraId="4C3F913E" w14:textId="47F18FE9"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3 000 et 3 999 km</w:t>
            </w:r>
          </w:p>
        </w:tc>
        <w:tc>
          <w:tcPr>
            <w:tcW w:w="1329" w:type="pct"/>
            <w:vAlign w:val="center"/>
          </w:tcPr>
          <w:p w14:paraId="4C3F913F" w14:textId="3FEDFCA8"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530</w:t>
            </w:r>
          </w:p>
        </w:tc>
        <w:tc>
          <w:tcPr>
            <w:tcW w:w="1328" w:type="pct"/>
          </w:tcPr>
          <w:p w14:paraId="78731389" w14:textId="4FD24501"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610</w:t>
            </w:r>
          </w:p>
        </w:tc>
      </w:tr>
      <w:tr w:rsidR="004C15B3" w:rsidRPr="00894694" w14:paraId="4C3F9143" w14:textId="71C15DE3" w:rsidTr="00B44A05">
        <w:trPr>
          <w:trHeight w:val="280"/>
          <w:jc w:val="center"/>
        </w:trPr>
        <w:tc>
          <w:tcPr>
            <w:tcW w:w="2343" w:type="pct"/>
            <w:vAlign w:val="center"/>
          </w:tcPr>
          <w:p w14:paraId="4C3F9141" w14:textId="17B3D760"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4 000 et 7 999 km</w:t>
            </w:r>
          </w:p>
        </w:tc>
        <w:tc>
          <w:tcPr>
            <w:tcW w:w="1329" w:type="pct"/>
            <w:vAlign w:val="center"/>
          </w:tcPr>
          <w:p w14:paraId="4C3F9142" w14:textId="242DB7E9"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820</w:t>
            </w:r>
          </w:p>
        </w:tc>
        <w:tc>
          <w:tcPr>
            <w:tcW w:w="1328" w:type="pct"/>
          </w:tcPr>
          <w:p w14:paraId="223BB5B1" w14:textId="210A860D"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4C15B3" w:rsidRPr="00894694" w14:paraId="4C3F9146" w14:textId="67B61440" w:rsidTr="00B44A05">
        <w:trPr>
          <w:trHeight w:val="270"/>
          <w:jc w:val="center"/>
        </w:trPr>
        <w:tc>
          <w:tcPr>
            <w:tcW w:w="2343" w:type="pct"/>
            <w:vAlign w:val="center"/>
          </w:tcPr>
          <w:p w14:paraId="4C3F9144" w14:textId="4668C13E"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8 000 km et plus</w:t>
            </w:r>
          </w:p>
        </w:tc>
        <w:tc>
          <w:tcPr>
            <w:tcW w:w="1329" w:type="pct"/>
            <w:vAlign w:val="center"/>
          </w:tcPr>
          <w:p w14:paraId="4C3F9145" w14:textId="7B8E1BE5" w:rsidR="004C15B3" w:rsidRPr="00E432C0" w:rsidRDefault="004C15B3" w:rsidP="006210C5">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1 500</w:t>
            </w:r>
          </w:p>
        </w:tc>
        <w:tc>
          <w:tcPr>
            <w:tcW w:w="1328" w:type="pct"/>
          </w:tcPr>
          <w:p w14:paraId="4F33C9FE" w14:textId="2BC5552D" w:rsidR="004C15B3" w:rsidRPr="00E432C0"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bl>
    <w:p w14:paraId="0D16DB0F" w14:textId="77777777" w:rsidR="00A55CB7" w:rsidRPr="00E432C0" w:rsidRDefault="00A55CB7" w:rsidP="00AD34F3">
      <w:pPr>
        <w:spacing w:after="120" w:line="240" w:lineRule="auto"/>
        <w:jc w:val="both"/>
        <w:rPr>
          <w:rFonts w:ascii="Times New Roman" w:hAnsi="Times New Roman"/>
        </w:rPr>
      </w:pPr>
    </w:p>
    <w:p w14:paraId="353C5906" w14:textId="6DD88025" w:rsidR="008A67BF" w:rsidRPr="009B5D89" w:rsidRDefault="0017299B" w:rsidP="003808AE">
      <w:pPr>
        <w:pStyle w:val="Titre2"/>
        <w:rPr>
          <w:szCs w:val="24"/>
        </w:rPr>
      </w:pPr>
      <w:r w:rsidRPr="009B5D89">
        <w:t>Coûts de gestion</w:t>
      </w:r>
    </w:p>
    <w:p w14:paraId="025E65E4" w14:textId="039BCF3C" w:rsidR="00AD34F3" w:rsidRPr="009B5D89" w:rsidRDefault="008A67BF" w:rsidP="003808AE">
      <w:pPr>
        <w:spacing w:after="120" w:line="240" w:lineRule="auto"/>
        <w:ind w:left="360"/>
        <w:jc w:val="both"/>
        <w:rPr>
          <w:rFonts w:ascii="Times New Roman" w:hAnsi="Times New Roman"/>
          <w:sz w:val="24"/>
          <w:szCs w:val="24"/>
        </w:rPr>
      </w:pPr>
      <w:r w:rsidRPr="009B5D89">
        <w:rPr>
          <w:rFonts w:ascii="Times New Roman" w:hAnsi="Times New Roman"/>
          <w:sz w:val="24"/>
        </w:rPr>
        <w:t>Il s’agit des coûts de gestion tels que la planification, les finances, la coordination et la communication entre les partenaires, les coûts administratifs. Les coûts de gestion sont pris en charge à concurrence de 225 EUR par participant, à hauteur maximale de 4 500 EUR. Pour les activités d’équipe de volontariat, ce montant est fixé à 2 000 EUR par activité.</w:t>
      </w:r>
    </w:p>
    <w:p w14:paraId="4699368E" w14:textId="79B7EFB7" w:rsidR="0017299B" w:rsidRPr="009B5D89" w:rsidRDefault="0017299B" w:rsidP="0017299B">
      <w:pPr>
        <w:pStyle w:val="Titre2"/>
      </w:pPr>
      <w:r w:rsidRPr="009B5D89">
        <w:t>Soutien organisationnel</w:t>
      </w:r>
    </w:p>
    <w:p w14:paraId="6E0BDCA8" w14:textId="56BF5ED0" w:rsidR="00AD34F3" w:rsidRPr="00E432C0" w:rsidRDefault="0017299B" w:rsidP="003808AE">
      <w:pPr>
        <w:spacing w:after="120" w:line="240" w:lineRule="auto"/>
        <w:ind w:left="360"/>
        <w:jc w:val="both"/>
        <w:rPr>
          <w:rFonts w:ascii="Times New Roman" w:hAnsi="Times New Roman"/>
          <w:sz w:val="24"/>
          <w:szCs w:val="24"/>
        </w:rPr>
      </w:pPr>
      <w:r w:rsidRPr="009B5D89">
        <w:rPr>
          <w:rFonts w:ascii="Times New Roman" w:hAnsi="Times New Roman"/>
          <w:sz w:val="24"/>
        </w:rPr>
        <w:t>Il s’agit des coûts directement liés à la mise en œuvre des activités de volontariat (par exemple préparation, suivi et soutien des participants, validation des acquis d’apprentissage) et des frais de séjour des participants (par exemple gîte, couvert et déplacements locaux). Ils sont définis comme des taux journaliers par participant, et repris en détail dans le tableau suivant:</w:t>
      </w:r>
    </w:p>
    <w:p w14:paraId="477AC005" w14:textId="77777777" w:rsidR="00016B01" w:rsidRPr="00E432C0" w:rsidRDefault="00016B01">
      <w:pPr>
        <w:rPr>
          <w:rFonts w:ascii="Times New Roman" w:hAnsi="Times New Roman" w:cs="Times New Roman"/>
          <w:sz w:val="24"/>
          <w:szCs w:val="24"/>
          <w:u w:val="single"/>
        </w:rPr>
      </w:pPr>
      <w:r>
        <w:br w:type="page"/>
      </w:r>
    </w:p>
    <w:p w14:paraId="6BE5AC94" w14:textId="512EECC6" w:rsidR="00AD34F3" w:rsidRPr="00E432C0" w:rsidRDefault="00AD34F3" w:rsidP="0031107B">
      <w:pPr>
        <w:spacing w:after="120" w:line="240" w:lineRule="auto"/>
        <w:jc w:val="center"/>
        <w:rPr>
          <w:rFonts w:ascii="Times New Roman" w:hAnsi="Times New Roman" w:cs="Times New Roman"/>
          <w:u w:val="single"/>
        </w:rPr>
      </w:pPr>
      <w:r>
        <w:rPr>
          <w:rFonts w:ascii="Times New Roman" w:hAnsi="Times New Roman"/>
          <w:u w:val="single"/>
        </w:rPr>
        <w:lastRenderedPageBreak/>
        <w:t>Tableau 2 – Soutien organisationnel – Coûts des activités</w:t>
      </w:r>
    </w:p>
    <w:p w14:paraId="103E54CE" w14:textId="77777777" w:rsidR="00A55CB7" w:rsidRPr="00E432C0" w:rsidRDefault="00A55CB7" w:rsidP="00AD34F3">
      <w:pPr>
        <w:spacing w:after="120" w:line="240" w:lineRule="auto"/>
        <w:jc w:val="both"/>
        <w:rPr>
          <w:rFonts w:ascii="Times New Roman" w:hAnsi="Times New Roman" w:cs="Times New Roman"/>
          <w:u w:val="single"/>
        </w:rPr>
      </w:pPr>
    </w:p>
    <w:tbl>
      <w:tblPr>
        <w:tblW w:w="5671" w:type="dxa"/>
        <w:jc w:val="center"/>
        <w:tblLook w:val="04A0" w:firstRow="1" w:lastRow="0" w:firstColumn="1" w:lastColumn="0" w:noHBand="0" w:noVBand="1"/>
      </w:tblPr>
      <w:tblGrid>
        <w:gridCol w:w="3600"/>
        <w:gridCol w:w="2071"/>
      </w:tblGrid>
      <w:tr w:rsidR="00A46EBA" w:rsidRPr="00894694"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Soutien organisationnel – Coûts des activités</w:t>
            </w:r>
          </w:p>
          <w:p w14:paraId="7BBE1FD5" w14:textId="45036718"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par jour)</w:t>
            </w:r>
          </w:p>
          <w:p w14:paraId="301A78EA" w14:textId="757060B5"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E432C0" w:rsidRDefault="00A46EBA" w:rsidP="00AD34F3">
            <w:pPr>
              <w:spacing w:after="0" w:line="240" w:lineRule="auto"/>
              <w:jc w:val="center"/>
              <w:rPr>
                <w:rFonts w:ascii="Times New Roman" w:eastAsia="Times New Roman" w:hAnsi="Times New Roman" w:cs="Times New Roman"/>
                <w:b/>
                <w:color w:val="000000"/>
                <w:sz w:val="18"/>
                <w:szCs w:val="18"/>
              </w:rPr>
            </w:pPr>
            <w:r>
              <w:rPr>
                <w:rFonts w:ascii="Times New Roman" w:hAnsi="Times New Roman"/>
                <w:b/>
                <w:color w:val="000000"/>
                <w:sz w:val="18"/>
              </w:rPr>
              <w:t>Volontariat</w:t>
            </w:r>
          </w:p>
        </w:tc>
      </w:tr>
      <w:tr w:rsidR="002970BA" w:rsidRPr="00894694"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396942B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29</w:t>
            </w:r>
          </w:p>
        </w:tc>
      </w:tr>
      <w:tr w:rsidR="002970BA" w:rsidRPr="00894694"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2071" w:type="dxa"/>
            <w:tcBorders>
              <w:top w:val="nil"/>
              <w:left w:val="nil"/>
              <w:bottom w:val="single" w:sz="8" w:space="0" w:color="auto"/>
              <w:right w:val="single" w:sz="8" w:space="0" w:color="auto"/>
            </w:tcBorders>
            <w:shd w:val="clear" w:color="auto" w:fill="auto"/>
            <w:vAlign w:val="center"/>
            <w:hideMark/>
          </w:tcPr>
          <w:p w14:paraId="16339C3D" w14:textId="1630BFE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sidRPr="009B5D89">
              <w:rPr>
                <w:rFonts w:ascii="Calibri" w:hAnsi="Calibri"/>
                <w:sz w:val="18"/>
              </w:rPr>
              <w:t>32</w:t>
            </w:r>
          </w:p>
        </w:tc>
      </w:tr>
      <w:tr w:rsidR="002970BA" w:rsidRPr="00894694"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2071" w:type="dxa"/>
            <w:tcBorders>
              <w:top w:val="nil"/>
              <w:left w:val="nil"/>
              <w:bottom w:val="single" w:sz="8" w:space="0" w:color="auto"/>
              <w:right w:val="single" w:sz="8" w:space="0" w:color="auto"/>
            </w:tcBorders>
            <w:shd w:val="clear" w:color="auto" w:fill="auto"/>
            <w:vAlign w:val="center"/>
            <w:hideMark/>
          </w:tcPr>
          <w:p w14:paraId="11967393" w14:textId="673E792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2071" w:type="dxa"/>
            <w:tcBorders>
              <w:top w:val="nil"/>
              <w:left w:val="nil"/>
              <w:bottom w:val="single" w:sz="8" w:space="0" w:color="auto"/>
              <w:right w:val="single" w:sz="8" w:space="0" w:color="auto"/>
            </w:tcBorders>
            <w:shd w:val="clear" w:color="auto" w:fill="auto"/>
            <w:vAlign w:val="center"/>
            <w:hideMark/>
          </w:tcPr>
          <w:p w14:paraId="6B05358C" w14:textId="62B99EA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24</w:t>
            </w:r>
          </w:p>
        </w:tc>
      </w:tr>
      <w:tr w:rsidR="002970BA" w:rsidRPr="00894694"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2071" w:type="dxa"/>
            <w:tcBorders>
              <w:top w:val="nil"/>
              <w:left w:val="nil"/>
              <w:bottom w:val="single" w:sz="8" w:space="0" w:color="auto"/>
              <w:right w:val="single" w:sz="8" w:space="0" w:color="auto"/>
            </w:tcBorders>
            <w:shd w:val="clear" w:color="auto" w:fill="auto"/>
            <w:vAlign w:val="center"/>
            <w:hideMark/>
          </w:tcPr>
          <w:p w14:paraId="5320C660" w14:textId="060891A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26</w:t>
            </w:r>
          </w:p>
        </w:tc>
      </w:tr>
      <w:tr w:rsidR="002970BA" w:rsidRPr="00894694"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2071" w:type="dxa"/>
            <w:tcBorders>
              <w:top w:val="nil"/>
              <w:left w:val="nil"/>
              <w:bottom w:val="single" w:sz="8" w:space="0" w:color="auto"/>
              <w:right w:val="single" w:sz="8" w:space="0" w:color="auto"/>
            </w:tcBorders>
            <w:shd w:val="clear" w:color="auto" w:fill="auto"/>
            <w:vAlign w:val="center"/>
            <w:hideMark/>
          </w:tcPr>
          <w:p w14:paraId="33CBD3AF" w14:textId="11C8D93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6140C34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2071" w:type="dxa"/>
            <w:tcBorders>
              <w:top w:val="nil"/>
              <w:left w:val="nil"/>
              <w:bottom w:val="single" w:sz="8" w:space="0" w:color="auto"/>
              <w:right w:val="single" w:sz="8" w:space="0" w:color="auto"/>
            </w:tcBorders>
            <w:shd w:val="clear" w:color="auto" w:fill="auto"/>
            <w:vAlign w:val="center"/>
            <w:hideMark/>
          </w:tcPr>
          <w:p w14:paraId="2463F92C" w14:textId="0C90678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2071" w:type="dxa"/>
            <w:tcBorders>
              <w:top w:val="nil"/>
              <w:left w:val="nil"/>
              <w:bottom w:val="single" w:sz="8" w:space="0" w:color="auto"/>
              <w:right w:val="single" w:sz="8" w:space="0" w:color="auto"/>
            </w:tcBorders>
            <w:shd w:val="clear" w:color="auto" w:fill="auto"/>
            <w:vAlign w:val="center"/>
            <w:hideMark/>
          </w:tcPr>
          <w:p w14:paraId="3965F551" w14:textId="1ADFFBF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1DD0D68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25</w:t>
            </w:r>
          </w:p>
        </w:tc>
      </w:tr>
      <w:tr w:rsidR="002970BA" w:rsidRPr="00894694"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2071" w:type="dxa"/>
            <w:tcBorders>
              <w:top w:val="nil"/>
              <w:left w:val="nil"/>
              <w:bottom w:val="single" w:sz="8" w:space="0" w:color="auto"/>
              <w:right w:val="single" w:sz="8" w:space="0" w:color="auto"/>
            </w:tcBorders>
            <w:shd w:val="clear" w:color="auto" w:fill="auto"/>
            <w:vAlign w:val="center"/>
            <w:hideMark/>
          </w:tcPr>
          <w:p w14:paraId="7D2B0BC0" w14:textId="6FC265D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29</w:t>
            </w:r>
          </w:p>
        </w:tc>
      </w:tr>
      <w:tr w:rsidR="002970BA" w:rsidRPr="00894694"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0FCA95F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26</w:t>
            </w:r>
          </w:p>
        </w:tc>
      </w:tr>
      <w:tr w:rsidR="002970BA" w:rsidRPr="00894694"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2071" w:type="dxa"/>
            <w:tcBorders>
              <w:top w:val="nil"/>
              <w:left w:val="nil"/>
              <w:bottom w:val="single" w:sz="8" w:space="0" w:color="auto"/>
              <w:right w:val="single" w:sz="8" w:space="0" w:color="auto"/>
            </w:tcBorders>
            <w:shd w:val="clear" w:color="auto" w:fill="auto"/>
            <w:vAlign w:val="center"/>
            <w:hideMark/>
          </w:tcPr>
          <w:p w14:paraId="5368394C" w14:textId="69E7237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2071" w:type="dxa"/>
            <w:tcBorders>
              <w:top w:val="nil"/>
              <w:left w:val="nil"/>
              <w:bottom w:val="single" w:sz="8" w:space="0" w:color="auto"/>
              <w:right w:val="single" w:sz="8" w:space="0" w:color="auto"/>
            </w:tcBorders>
            <w:shd w:val="clear" w:color="auto" w:fill="auto"/>
            <w:vAlign w:val="center"/>
            <w:hideMark/>
          </w:tcPr>
          <w:p w14:paraId="05AFA82A" w14:textId="6348F2D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2071" w:type="dxa"/>
            <w:tcBorders>
              <w:top w:val="nil"/>
              <w:left w:val="nil"/>
              <w:bottom w:val="single" w:sz="8" w:space="0" w:color="auto"/>
              <w:right w:val="single" w:sz="8" w:space="0" w:color="auto"/>
            </w:tcBorders>
            <w:shd w:val="clear" w:color="auto" w:fill="auto"/>
            <w:vAlign w:val="center"/>
            <w:hideMark/>
          </w:tcPr>
          <w:p w14:paraId="620E6DEF" w14:textId="0099BF3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26</w:t>
            </w:r>
          </w:p>
        </w:tc>
      </w:tr>
      <w:tr w:rsidR="002970BA" w:rsidRPr="00894694"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2071" w:type="dxa"/>
            <w:tcBorders>
              <w:top w:val="nil"/>
              <w:left w:val="nil"/>
              <w:bottom w:val="single" w:sz="8" w:space="0" w:color="auto"/>
              <w:right w:val="single" w:sz="8" w:space="0" w:color="auto"/>
            </w:tcBorders>
            <w:shd w:val="clear" w:color="auto" w:fill="auto"/>
            <w:vAlign w:val="center"/>
            <w:hideMark/>
          </w:tcPr>
          <w:p w14:paraId="7905DC5F" w14:textId="2549339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24</w:t>
            </w:r>
          </w:p>
        </w:tc>
      </w:tr>
      <w:tr w:rsidR="002970BA" w:rsidRPr="00894694"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2071" w:type="dxa"/>
            <w:tcBorders>
              <w:top w:val="nil"/>
              <w:left w:val="nil"/>
              <w:bottom w:val="single" w:sz="8" w:space="0" w:color="auto"/>
              <w:right w:val="single" w:sz="8" w:space="0" w:color="auto"/>
            </w:tcBorders>
            <w:shd w:val="clear" w:color="auto" w:fill="auto"/>
            <w:vAlign w:val="center"/>
            <w:hideMark/>
          </w:tcPr>
          <w:p w14:paraId="21C88681" w14:textId="044BF6F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14DB33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2071" w:type="dxa"/>
            <w:tcBorders>
              <w:top w:val="nil"/>
              <w:left w:val="nil"/>
              <w:bottom w:val="single" w:sz="8" w:space="0" w:color="auto"/>
              <w:right w:val="single" w:sz="8" w:space="0" w:color="auto"/>
            </w:tcBorders>
            <w:shd w:val="clear" w:color="auto" w:fill="auto"/>
            <w:vAlign w:val="center"/>
            <w:hideMark/>
          </w:tcPr>
          <w:p w14:paraId="1DB6B605" w14:textId="4CE1FD0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27</w:t>
            </w:r>
          </w:p>
        </w:tc>
      </w:tr>
      <w:tr w:rsidR="002970BA" w:rsidRPr="00894694"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14B4808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2071" w:type="dxa"/>
            <w:tcBorders>
              <w:top w:val="nil"/>
              <w:left w:val="nil"/>
              <w:bottom w:val="single" w:sz="8" w:space="0" w:color="auto"/>
              <w:right w:val="single" w:sz="8" w:space="0" w:color="auto"/>
            </w:tcBorders>
            <w:shd w:val="clear" w:color="auto" w:fill="auto"/>
            <w:vAlign w:val="center"/>
            <w:hideMark/>
          </w:tcPr>
          <w:p w14:paraId="22972454" w14:textId="6BB4BC5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0FA995D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25</w:t>
            </w:r>
          </w:p>
        </w:tc>
      </w:tr>
      <w:tr w:rsidR="002970BA" w:rsidRPr="00894694"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E6434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2071" w:type="dxa"/>
            <w:tcBorders>
              <w:top w:val="nil"/>
              <w:left w:val="nil"/>
              <w:bottom w:val="single" w:sz="8" w:space="0" w:color="auto"/>
              <w:right w:val="single" w:sz="8" w:space="0" w:color="auto"/>
            </w:tcBorders>
            <w:shd w:val="clear" w:color="auto" w:fill="auto"/>
            <w:vAlign w:val="center"/>
            <w:hideMark/>
          </w:tcPr>
          <w:p w14:paraId="2B34A85F" w14:textId="57AFE36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24</w:t>
            </w:r>
          </w:p>
        </w:tc>
      </w:tr>
      <w:tr w:rsidR="002970BA" w:rsidRPr="00894694"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2071" w:type="dxa"/>
            <w:tcBorders>
              <w:top w:val="nil"/>
              <w:left w:val="nil"/>
              <w:bottom w:val="single" w:sz="8" w:space="0" w:color="auto"/>
              <w:right w:val="single" w:sz="8" w:space="0" w:color="auto"/>
            </w:tcBorders>
            <w:shd w:val="clear" w:color="auto" w:fill="auto"/>
            <w:vAlign w:val="center"/>
            <w:hideMark/>
          </w:tcPr>
          <w:p w14:paraId="7FF30154" w14:textId="11B3630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25</w:t>
            </w:r>
          </w:p>
        </w:tc>
      </w:tr>
      <w:tr w:rsidR="002970BA" w:rsidRPr="00894694"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2071" w:type="dxa"/>
            <w:tcBorders>
              <w:top w:val="nil"/>
              <w:left w:val="nil"/>
              <w:bottom w:val="single" w:sz="8" w:space="0" w:color="auto"/>
              <w:right w:val="single" w:sz="8" w:space="0" w:color="auto"/>
            </w:tcBorders>
            <w:shd w:val="clear" w:color="auto" w:fill="auto"/>
            <w:vAlign w:val="center"/>
            <w:hideMark/>
          </w:tcPr>
          <w:p w14:paraId="07961974" w14:textId="29EB968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23</w:t>
            </w:r>
          </w:p>
        </w:tc>
      </w:tr>
      <w:tr w:rsidR="002970BA" w:rsidRPr="00894694"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2071" w:type="dxa"/>
            <w:tcBorders>
              <w:top w:val="nil"/>
              <w:left w:val="nil"/>
              <w:bottom w:val="single" w:sz="8" w:space="0" w:color="auto"/>
              <w:right w:val="single" w:sz="8" w:space="0" w:color="auto"/>
            </w:tcBorders>
            <w:shd w:val="clear" w:color="auto" w:fill="auto"/>
            <w:vAlign w:val="center"/>
            <w:hideMark/>
          </w:tcPr>
          <w:p w14:paraId="31375757" w14:textId="4DFAAAB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2071" w:type="dxa"/>
            <w:tcBorders>
              <w:top w:val="nil"/>
              <w:left w:val="nil"/>
              <w:bottom w:val="single" w:sz="8" w:space="0" w:color="auto"/>
              <w:right w:val="single" w:sz="8" w:space="0" w:color="auto"/>
            </w:tcBorders>
            <w:shd w:val="clear" w:color="auto" w:fill="auto"/>
            <w:vAlign w:val="center"/>
            <w:hideMark/>
          </w:tcPr>
          <w:p w14:paraId="6C60B54F" w14:textId="2473D0A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19</w:t>
            </w:r>
          </w:p>
        </w:tc>
      </w:tr>
      <w:tr w:rsidR="002970BA" w:rsidRPr="00894694"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2071" w:type="dxa"/>
            <w:tcBorders>
              <w:top w:val="nil"/>
              <w:left w:val="nil"/>
              <w:bottom w:val="single" w:sz="8" w:space="0" w:color="auto"/>
              <w:right w:val="single" w:sz="8" w:space="0" w:color="auto"/>
            </w:tcBorders>
            <w:shd w:val="clear" w:color="auto" w:fill="auto"/>
            <w:vAlign w:val="center"/>
            <w:hideMark/>
          </w:tcPr>
          <w:p w14:paraId="70F8E2AD" w14:textId="0A18438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5FE44A7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30</w:t>
            </w:r>
          </w:p>
        </w:tc>
      </w:tr>
      <w:tr w:rsidR="002970BA" w:rsidRPr="00894694"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2071" w:type="dxa"/>
            <w:tcBorders>
              <w:top w:val="nil"/>
              <w:left w:val="nil"/>
              <w:bottom w:val="single" w:sz="8" w:space="0" w:color="auto"/>
              <w:right w:val="single" w:sz="8" w:space="0" w:color="auto"/>
            </w:tcBorders>
            <w:shd w:val="clear" w:color="auto" w:fill="auto"/>
            <w:vAlign w:val="center"/>
            <w:hideMark/>
          </w:tcPr>
          <w:p w14:paraId="1466DF65" w14:textId="540AAE8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32</w:t>
            </w:r>
          </w:p>
        </w:tc>
      </w:tr>
      <w:tr w:rsidR="002970BA" w:rsidRPr="00894694"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2071" w:type="dxa"/>
            <w:tcBorders>
              <w:top w:val="nil"/>
              <w:left w:val="nil"/>
              <w:bottom w:val="single" w:sz="8" w:space="0" w:color="auto"/>
              <w:right w:val="single" w:sz="8" w:space="0" w:color="auto"/>
            </w:tcBorders>
            <w:shd w:val="clear" w:color="auto" w:fill="auto"/>
            <w:vAlign w:val="center"/>
            <w:hideMark/>
          </w:tcPr>
          <w:p w14:paraId="4ECE24FB" w14:textId="38D7047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21</w:t>
            </w:r>
          </w:p>
        </w:tc>
      </w:tr>
      <w:tr w:rsidR="002970BA" w:rsidRPr="00894694"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2071" w:type="dxa"/>
            <w:tcBorders>
              <w:top w:val="nil"/>
              <w:left w:val="nil"/>
              <w:bottom w:val="single" w:sz="8" w:space="0" w:color="auto"/>
              <w:right w:val="single" w:sz="8" w:space="0" w:color="auto"/>
            </w:tcBorders>
            <w:shd w:val="clear" w:color="auto" w:fill="auto"/>
            <w:vAlign w:val="center"/>
            <w:hideMark/>
          </w:tcPr>
          <w:p w14:paraId="772BF2EB" w14:textId="2BD3B16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19</w:t>
            </w:r>
          </w:p>
        </w:tc>
      </w:tr>
    </w:tbl>
    <w:p w14:paraId="72D654BC" w14:textId="77777777" w:rsidR="00016B01" w:rsidRPr="00E432C0" w:rsidRDefault="00016B01">
      <w:pPr>
        <w:rPr>
          <w:rFonts w:ascii="Times New Roman" w:hAnsi="Times New Roman" w:cs="Times New Roman"/>
          <w:u w:val="single"/>
        </w:rPr>
      </w:pPr>
      <w:r>
        <w:br w:type="page"/>
      </w:r>
    </w:p>
    <w:p w14:paraId="4C3F91FF" w14:textId="00151D75" w:rsidR="008E179D" w:rsidRPr="00E432C0" w:rsidRDefault="00016B01">
      <w:pPr>
        <w:pStyle w:val="Titre2"/>
      </w:pPr>
      <w:r>
        <w:lastRenderedPageBreak/>
        <w:t>Soutien à l’inclusion</w:t>
      </w:r>
    </w:p>
    <w:p w14:paraId="251AD1E7" w14:textId="2B72A22D" w:rsidR="00016B01" w:rsidRPr="00E432C0" w:rsidRDefault="00F34B61" w:rsidP="0031107B">
      <w:pPr>
        <w:spacing w:after="120" w:line="240" w:lineRule="auto"/>
        <w:ind w:left="360"/>
        <w:jc w:val="both"/>
        <w:rPr>
          <w:rFonts w:ascii="Times New Roman" w:hAnsi="Times New Roman" w:cs="Times New Roman"/>
          <w:sz w:val="24"/>
          <w:szCs w:val="24"/>
        </w:rPr>
      </w:pPr>
      <w:r>
        <w:rPr>
          <w:rFonts w:ascii="Times New Roman" w:hAnsi="Times New Roman"/>
          <w:sz w:val="24"/>
        </w:rPr>
        <w:t>Les taux suivants (définis comme des taux journaliers par participant) sont à utiliser pour les activités qui incluent la participation de jeunes moins favorisés.</w:t>
      </w:r>
    </w:p>
    <w:p w14:paraId="0B141062" w14:textId="77777777" w:rsidR="00A55CB7" w:rsidRPr="00E432C0" w:rsidRDefault="00A55CB7" w:rsidP="0031107B">
      <w:pPr>
        <w:spacing w:after="120" w:line="240" w:lineRule="auto"/>
        <w:ind w:left="360"/>
        <w:jc w:val="both"/>
        <w:rPr>
          <w:rFonts w:ascii="Times New Roman" w:hAnsi="Times New Roman"/>
          <w:sz w:val="24"/>
          <w:szCs w:val="24"/>
        </w:rPr>
      </w:pPr>
    </w:p>
    <w:p w14:paraId="76F6EE02" w14:textId="57F12557" w:rsidR="00F34B61" w:rsidRPr="00E432C0" w:rsidRDefault="00F34B61" w:rsidP="0031107B">
      <w:pPr>
        <w:jc w:val="center"/>
        <w:rPr>
          <w:rFonts w:ascii="Times New Roman" w:hAnsi="Times New Roman" w:cs="Times New Roman"/>
          <w:u w:val="single"/>
        </w:rPr>
      </w:pPr>
      <w:r>
        <w:rPr>
          <w:rFonts w:ascii="Times New Roman" w:hAnsi="Times New Roman"/>
          <w:u w:val="single"/>
        </w:rPr>
        <w:t>Table 3 – Soutien à l’inclusion</w:t>
      </w:r>
    </w:p>
    <w:tbl>
      <w:tblPr>
        <w:tblW w:w="8704" w:type="dxa"/>
        <w:jc w:val="center"/>
        <w:tblLook w:val="04A0" w:firstRow="1" w:lastRow="0" w:firstColumn="1" w:lastColumn="0" w:noHBand="0" w:noVBand="1"/>
      </w:tblPr>
      <w:tblGrid>
        <w:gridCol w:w="4019"/>
        <w:gridCol w:w="4685"/>
      </w:tblGrid>
      <w:tr w:rsidR="00F34B61" w:rsidRPr="00894694"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113ACB69" w:rsidR="00F34B61" w:rsidRPr="00E432C0" w:rsidRDefault="00F34B61" w:rsidP="00F34B61">
            <w:pPr>
              <w:spacing w:after="0" w:line="240" w:lineRule="auto"/>
              <w:jc w:val="center"/>
              <w:rPr>
                <w:rFonts w:ascii="Times New Roman" w:eastAsia="Times New Roman" w:hAnsi="Times New Roman" w:cs="Times New Roman"/>
                <w:color w:val="000000"/>
                <w:sz w:val="24"/>
                <w:szCs w:val="24"/>
              </w:rPr>
            </w:pPr>
          </w:p>
        </w:tc>
        <w:tc>
          <w:tcPr>
            <w:tcW w:w="4685" w:type="dxa"/>
            <w:tcBorders>
              <w:top w:val="single" w:sz="8" w:space="0" w:color="auto"/>
              <w:left w:val="nil"/>
              <w:bottom w:val="nil"/>
              <w:right w:val="single" w:sz="8" w:space="0" w:color="000000"/>
            </w:tcBorders>
            <w:shd w:val="clear" w:color="000000" w:fill="C0C0C0"/>
            <w:vAlign w:val="center"/>
            <w:hideMark/>
          </w:tcPr>
          <w:p w14:paraId="11AFF57F" w14:textId="20898E5C" w:rsidR="00F34B61" w:rsidRPr="00E432C0" w:rsidRDefault="00F34B61" w:rsidP="006210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Soutien à l’inclusion</w:t>
            </w:r>
          </w:p>
        </w:tc>
      </w:tr>
      <w:tr w:rsidR="00F34B61" w:rsidRPr="00894694"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E432C0"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tcBorders>
              <w:top w:val="nil"/>
              <w:left w:val="nil"/>
              <w:bottom w:val="nil"/>
              <w:right w:val="single" w:sz="8" w:space="0" w:color="000000"/>
            </w:tcBorders>
            <w:shd w:val="clear" w:color="000000" w:fill="C0C0C0"/>
            <w:vAlign w:val="center"/>
            <w:hideMark/>
          </w:tcPr>
          <w:p w14:paraId="730E27EF"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par jour)</w:t>
            </w:r>
          </w:p>
        </w:tc>
      </w:tr>
      <w:tr w:rsidR="00F34B61" w:rsidRPr="00894694"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E432C0"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tcBorders>
              <w:top w:val="nil"/>
              <w:left w:val="nil"/>
              <w:bottom w:val="single" w:sz="8" w:space="0" w:color="auto"/>
              <w:right w:val="single" w:sz="8" w:space="0" w:color="000000"/>
            </w:tcBorders>
            <w:shd w:val="clear" w:color="000000" w:fill="C0C0C0"/>
            <w:vAlign w:val="center"/>
            <w:hideMark/>
          </w:tcPr>
          <w:p w14:paraId="0CBF2A2D" w14:textId="57EB48E9"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rPr>
            </w:pPr>
          </w:p>
        </w:tc>
      </w:tr>
      <w:tr w:rsidR="00A46EBA" w:rsidRPr="00894694" w14:paraId="3E5253BE" w14:textId="77777777" w:rsidTr="002970BA">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p w14:paraId="5C6F8BC8" w14:textId="4215D179"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2970BA" w:rsidRPr="00894694"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FA2B54F" w14:textId="734AC57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10FEECAA" w14:textId="1687484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sidRPr="009B5D89">
              <w:rPr>
                <w:rFonts w:ascii="Calibri" w:hAnsi="Calibri"/>
                <w:sz w:val="18"/>
              </w:rPr>
              <w:t>11</w:t>
            </w:r>
          </w:p>
        </w:tc>
      </w:tr>
      <w:tr w:rsidR="002970BA" w:rsidRPr="00894694"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E035E22" w14:textId="5EEC3C4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6F9E4E5" w14:textId="27D17F5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1A986C66" w14:textId="2B0FA0C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ED935DD" w14:textId="11988AA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D1B58D8" w14:textId="240CDD2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BDE429A" w14:textId="1C8CCD8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0903D9BA" w14:textId="60B57BE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70F2947D" w14:textId="2D5F07D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BEA0D76" w14:textId="31BB879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5423FA92" w14:textId="024C605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B43F75C" w14:textId="471929A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B7201E8" w14:textId="2B5F8DB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35ABF59" w14:textId="0BCB754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51BBE11" w14:textId="175DE9B3"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1B6513D" w14:textId="08DB3C8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08DED102" w14:textId="5DAD482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177F92B" w14:textId="5BB6D75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E0D66D6" w14:textId="106FFB2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7870634B" w14:textId="3302B2C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C3EAA4F" w14:textId="09914B3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4D83CCF" w14:textId="25FE7AE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49C9B6B" w14:textId="2EBDE38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46EBF62D" w14:textId="45CEBCA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8</w:t>
            </w:r>
          </w:p>
        </w:tc>
      </w:tr>
      <w:tr w:rsidR="002970BA" w:rsidRPr="00894694"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888E478" w14:textId="27287A9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535D7685" w14:textId="56F3822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7E5DE6AE"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4685" w:type="dxa"/>
            <w:tcBorders>
              <w:top w:val="nil"/>
              <w:left w:val="nil"/>
              <w:bottom w:val="single" w:sz="8" w:space="0" w:color="auto"/>
              <w:right w:val="single" w:sz="8" w:space="0" w:color="auto"/>
            </w:tcBorders>
            <w:shd w:val="clear" w:color="auto" w:fill="auto"/>
            <w:vAlign w:val="center"/>
            <w:hideMark/>
          </w:tcPr>
          <w:p w14:paraId="7F15B216" w14:textId="10D4F5D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3A938FE6"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4685" w:type="dxa"/>
            <w:tcBorders>
              <w:top w:val="nil"/>
              <w:left w:val="nil"/>
              <w:bottom w:val="single" w:sz="8" w:space="0" w:color="auto"/>
              <w:right w:val="single" w:sz="8" w:space="0" w:color="auto"/>
            </w:tcBorders>
            <w:shd w:val="clear" w:color="auto" w:fill="auto"/>
            <w:vAlign w:val="center"/>
            <w:hideMark/>
          </w:tcPr>
          <w:p w14:paraId="4EDE208D" w14:textId="58E5878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649BFCC7"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4685" w:type="dxa"/>
            <w:tcBorders>
              <w:top w:val="nil"/>
              <w:left w:val="nil"/>
              <w:bottom w:val="single" w:sz="8" w:space="0" w:color="auto"/>
              <w:right w:val="single" w:sz="8" w:space="0" w:color="auto"/>
            </w:tcBorders>
            <w:shd w:val="clear" w:color="auto" w:fill="auto"/>
            <w:vAlign w:val="center"/>
            <w:hideMark/>
          </w:tcPr>
          <w:p w14:paraId="6EF914B3" w14:textId="6742B2F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10</w:t>
            </w:r>
          </w:p>
        </w:tc>
      </w:tr>
      <w:tr w:rsidR="002970BA" w:rsidRPr="00894694" w14:paraId="00CBAA18"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4685" w:type="dxa"/>
            <w:tcBorders>
              <w:top w:val="nil"/>
              <w:left w:val="nil"/>
              <w:bottom w:val="single" w:sz="8" w:space="0" w:color="auto"/>
              <w:right w:val="single" w:sz="8" w:space="0" w:color="auto"/>
            </w:tcBorders>
            <w:shd w:val="clear" w:color="auto" w:fill="auto"/>
            <w:vAlign w:val="center"/>
            <w:hideMark/>
          </w:tcPr>
          <w:p w14:paraId="795303F4" w14:textId="5FF3876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11</w:t>
            </w:r>
          </w:p>
        </w:tc>
      </w:tr>
      <w:tr w:rsidR="002970BA" w:rsidRPr="00894694" w14:paraId="29FF0777"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4685" w:type="dxa"/>
            <w:tcBorders>
              <w:top w:val="nil"/>
              <w:left w:val="nil"/>
              <w:bottom w:val="single" w:sz="8" w:space="0" w:color="auto"/>
              <w:right w:val="single" w:sz="8" w:space="0" w:color="auto"/>
            </w:tcBorders>
            <w:shd w:val="clear" w:color="auto" w:fill="auto"/>
            <w:vAlign w:val="center"/>
            <w:hideMark/>
          </w:tcPr>
          <w:p w14:paraId="3D881E4B" w14:textId="3CD2635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1373242B"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4685" w:type="dxa"/>
            <w:tcBorders>
              <w:top w:val="nil"/>
              <w:left w:val="nil"/>
              <w:bottom w:val="single" w:sz="8" w:space="0" w:color="auto"/>
              <w:right w:val="single" w:sz="8" w:space="0" w:color="auto"/>
            </w:tcBorders>
            <w:shd w:val="clear" w:color="auto" w:fill="auto"/>
            <w:vAlign w:val="center"/>
            <w:hideMark/>
          </w:tcPr>
          <w:p w14:paraId="50A98C2B" w14:textId="6E390A2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bl>
    <w:p w14:paraId="7E1E4FC6" w14:textId="738D4568" w:rsidR="00F34B61" w:rsidRPr="00E432C0" w:rsidRDefault="0089205D">
      <w:pPr>
        <w:pStyle w:val="Titre2"/>
      </w:pPr>
      <w:r>
        <w:lastRenderedPageBreak/>
        <w:t>Argent de poche</w:t>
      </w:r>
    </w:p>
    <w:p w14:paraId="40B54A73" w14:textId="3C16D2E5" w:rsidR="0089205D" w:rsidRPr="00E432C0" w:rsidRDefault="0089205D" w:rsidP="0031107B">
      <w:pPr>
        <w:spacing w:after="120" w:line="240" w:lineRule="auto"/>
        <w:ind w:left="360"/>
        <w:jc w:val="center"/>
        <w:rPr>
          <w:rFonts w:ascii="Times New Roman" w:hAnsi="Times New Roman" w:cs="Times New Roman"/>
          <w:u w:val="single"/>
        </w:rPr>
      </w:pPr>
      <w:r>
        <w:rPr>
          <w:rFonts w:ascii="Times New Roman" w:hAnsi="Times New Roman"/>
          <w:u w:val="single"/>
        </w:rPr>
        <w:t>Tableau 4 – Argent de poche pour les volontaires</w:t>
      </w:r>
    </w:p>
    <w:tbl>
      <w:tblPr>
        <w:tblW w:w="5320" w:type="dxa"/>
        <w:jc w:val="center"/>
        <w:tblLook w:val="04A0" w:firstRow="1" w:lastRow="0" w:firstColumn="1" w:lastColumn="0" w:noHBand="0" w:noVBand="1"/>
      </w:tblPr>
      <w:tblGrid>
        <w:gridCol w:w="3600"/>
        <w:gridCol w:w="1720"/>
      </w:tblGrid>
      <w:tr w:rsidR="0089205D" w:rsidRPr="00894694"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4E753564" w:rsidR="0089205D" w:rsidRPr="00E432C0" w:rsidRDefault="0089205D" w:rsidP="0089205D">
            <w:pPr>
              <w:spacing w:after="0" w:line="240" w:lineRule="auto"/>
              <w:jc w:val="center"/>
              <w:rPr>
                <w:rFonts w:ascii="Times New Roman" w:eastAsia="Times New Roman" w:hAnsi="Times New Roman" w:cs="Times New Roman"/>
                <w:color w:val="000000"/>
                <w:sz w:val="24"/>
                <w:szCs w:val="24"/>
              </w:rPr>
            </w:pP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Argent de poche</w:t>
            </w:r>
          </w:p>
        </w:tc>
      </w:tr>
      <w:tr w:rsidR="0089205D" w:rsidRPr="00894694"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E432C0"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par jour)</w:t>
            </w:r>
          </w:p>
        </w:tc>
      </w:tr>
      <w:tr w:rsidR="0089205D" w:rsidRPr="00894694"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E432C0"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442E4BF4"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p>
        </w:tc>
      </w:tr>
      <w:tr w:rsidR="0089205D" w:rsidRPr="00894694"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r>
      <w:tr w:rsidR="002970BA" w:rsidRPr="00894694"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1720" w:type="dxa"/>
            <w:tcBorders>
              <w:top w:val="nil"/>
              <w:left w:val="nil"/>
              <w:bottom w:val="single" w:sz="8" w:space="0" w:color="auto"/>
              <w:right w:val="single" w:sz="8" w:space="0" w:color="auto"/>
            </w:tcBorders>
            <w:shd w:val="clear" w:color="auto" w:fill="auto"/>
            <w:vAlign w:val="center"/>
            <w:hideMark/>
          </w:tcPr>
          <w:p w14:paraId="588CBB15" w14:textId="1D47009D" w:rsidR="002970BA" w:rsidRPr="00E432C0" w:rsidRDefault="002970BA" w:rsidP="002970BA">
            <w:pPr>
              <w:spacing w:after="0" w:line="240" w:lineRule="auto"/>
              <w:jc w:val="center"/>
              <w:rPr>
                <w:rFonts w:ascii="Times New Roman" w:eastAsia="Times New Roman" w:hAnsi="Times New Roman" w:cs="Times New Roman"/>
                <w:bCs/>
                <w:color w:val="000000"/>
                <w:sz w:val="18"/>
                <w:szCs w:val="18"/>
              </w:rPr>
            </w:pPr>
            <w:r>
              <w:rPr>
                <w:rFonts w:ascii="Calibri" w:hAnsi="Calibri"/>
                <w:sz w:val="18"/>
              </w:rPr>
              <w:t>6</w:t>
            </w:r>
          </w:p>
        </w:tc>
      </w:tr>
      <w:tr w:rsidR="002970BA" w:rsidRPr="00894694"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1720" w:type="dxa"/>
            <w:tcBorders>
              <w:top w:val="nil"/>
              <w:left w:val="nil"/>
              <w:bottom w:val="single" w:sz="8" w:space="0" w:color="auto"/>
              <w:right w:val="single" w:sz="8" w:space="0" w:color="auto"/>
            </w:tcBorders>
            <w:shd w:val="clear" w:color="auto" w:fill="auto"/>
            <w:vAlign w:val="center"/>
            <w:hideMark/>
          </w:tcPr>
          <w:p w14:paraId="1AE403EC" w14:textId="47EF527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sidRPr="009B5D89">
              <w:rPr>
                <w:rFonts w:ascii="Calibri" w:hAnsi="Calibri"/>
                <w:sz w:val="18"/>
              </w:rPr>
              <w:t>5</w:t>
            </w:r>
          </w:p>
        </w:tc>
      </w:tr>
      <w:tr w:rsidR="002970BA" w:rsidRPr="00894694"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1720" w:type="dxa"/>
            <w:tcBorders>
              <w:top w:val="nil"/>
              <w:left w:val="nil"/>
              <w:bottom w:val="single" w:sz="8" w:space="0" w:color="auto"/>
              <w:right w:val="single" w:sz="8" w:space="0" w:color="auto"/>
            </w:tcBorders>
            <w:shd w:val="clear" w:color="auto" w:fill="auto"/>
            <w:vAlign w:val="center"/>
            <w:hideMark/>
          </w:tcPr>
          <w:p w14:paraId="12D6B64B" w14:textId="433C5BE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D9D91BD"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1720" w:type="dxa"/>
            <w:tcBorders>
              <w:top w:val="nil"/>
              <w:left w:val="nil"/>
              <w:bottom w:val="single" w:sz="8" w:space="0" w:color="auto"/>
              <w:right w:val="single" w:sz="8" w:space="0" w:color="auto"/>
            </w:tcBorders>
            <w:shd w:val="clear" w:color="auto" w:fill="auto"/>
            <w:vAlign w:val="center"/>
            <w:hideMark/>
          </w:tcPr>
          <w:p w14:paraId="5AF2B290" w14:textId="20ECF90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1720" w:type="dxa"/>
            <w:tcBorders>
              <w:top w:val="nil"/>
              <w:left w:val="nil"/>
              <w:bottom w:val="single" w:sz="8" w:space="0" w:color="auto"/>
              <w:right w:val="single" w:sz="8" w:space="0" w:color="auto"/>
            </w:tcBorders>
            <w:shd w:val="clear" w:color="auto" w:fill="auto"/>
            <w:vAlign w:val="center"/>
            <w:hideMark/>
          </w:tcPr>
          <w:p w14:paraId="4B826103" w14:textId="3E1AFEB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2CAAF65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1720" w:type="dxa"/>
            <w:tcBorders>
              <w:top w:val="nil"/>
              <w:left w:val="nil"/>
              <w:bottom w:val="single" w:sz="8" w:space="0" w:color="auto"/>
              <w:right w:val="single" w:sz="8" w:space="0" w:color="auto"/>
            </w:tcBorders>
            <w:shd w:val="clear" w:color="auto" w:fill="auto"/>
            <w:vAlign w:val="center"/>
            <w:hideMark/>
          </w:tcPr>
          <w:p w14:paraId="17BE8BD5" w14:textId="35B96077"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1720" w:type="dxa"/>
            <w:tcBorders>
              <w:top w:val="nil"/>
              <w:left w:val="nil"/>
              <w:bottom w:val="single" w:sz="8" w:space="0" w:color="auto"/>
              <w:right w:val="single" w:sz="8" w:space="0" w:color="auto"/>
            </w:tcBorders>
            <w:shd w:val="clear" w:color="auto" w:fill="auto"/>
            <w:vAlign w:val="center"/>
            <w:hideMark/>
          </w:tcPr>
          <w:p w14:paraId="55571FF8" w14:textId="23B68E8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2D87581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1720" w:type="dxa"/>
            <w:tcBorders>
              <w:top w:val="nil"/>
              <w:left w:val="nil"/>
              <w:bottom w:val="single" w:sz="8" w:space="0" w:color="auto"/>
              <w:right w:val="single" w:sz="8" w:space="0" w:color="auto"/>
            </w:tcBorders>
            <w:shd w:val="clear" w:color="auto" w:fill="auto"/>
            <w:vAlign w:val="center"/>
            <w:hideMark/>
          </w:tcPr>
          <w:p w14:paraId="41AFEEE7" w14:textId="3C4C46C6"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5543E58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1720" w:type="dxa"/>
            <w:tcBorders>
              <w:top w:val="nil"/>
              <w:left w:val="nil"/>
              <w:bottom w:val="single" w:sz="8" w:space="0" w:color="auto"/>
              <w:right w:val="single" w:sz="8" w:space="0" w:color="auto"/>
            </w:tcBorders>
            <w:shd w:val="clear" w:color="auto" w:fill="auto"/>
            <w:vAlign w:val="center"/>
            <w:hideMark/>
          </w:tcPr>
          <w:p w14:paraId="042A72D3" w14:textId="28C976D0"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1720" w:type="dxa"/>
            <w:tcBorders>
              <w:top w:val="nil"/>
              <w:left w:val="nil"/>
              <w:bottom w:val="single" w:sz="8" w:space="0" w:color="auto"/>
              <w:right w:val="single" w:sz="8" w:space="0" w:color="auto"/>
            </w:tcBorders>
            <w:shd w:val="clear" w:color="auto" w:fill="auto"/>
            <w:vAlign w:val="center"/>
            <w:hideMark/>
          </w:tcPr>
          <w:p w14:paraId="5061A490" w14:textId="53DFCC53"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1720" w:type="dxa"/>
            <w:tcBorders>
              <w:top w:val="nil"/>
              <w:left w:val="nil"/>
              <w:bottom w:val="single" w:sz="8" w:space="0" w:color="auto"/>
              <w:right w:val="single" w:sz="8" w:space="0" w:color="auto"/>
            </w:tcBorders>
            <w:shd w:val="clear" w:color="auto" w:fill="auto"/>
            <w:vAlign w:val="center"/>
            <w:hideMark/>
          </w:tcPr>
          <w:p w14:paraId="540B2A3B" w14:textId="4BAE5FE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BA2BD6B"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1720" w:type="dxa"/>
            <w:tcBorders>
              <w:top w:val="nil"/>
              <w:left w:val="nil"/>
              <w:bottom w:val="single" w:sz="8" w:space="0" w:color="auto"/>
              <w:right w:val="single" w:sz="8" w:space="0" w:color="auto"/>
            </w:tcBorders>
            <w:shd w:val="clear" w:color="auto" w:fill="auto"/>
            <w:vAlign w:val="center"/>
            <w:hideMark/>
          </w:tcPr>
          <w:p w14:paraId="0B660912" w14:textId="2D49A629"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D78492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1720" w:type="dxa"/>
            <w:tcBorders>
              <w:top w:val="nil"/>
              <w:left w:val="nil"/>
              <w:bottom w:val="single" w:sz="8" w:space="0" w:color="auto"/>
              <w:right w:val="single" w:sz="8" w:space="0" w:color="auto"/>
            </w:tcBorders>
            <w:shd w:val="clear" w:color="auto" w:fill="auto"/>
            <w:vAlign w:val="center"/>
            <w:hideMark/>
          </w:tcPr>
          <w:p w14:paraId="117D8329" w14:textId="0A9AA02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68FFBDE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1720" w:type="dxa"/>
            <w:tcBorders>
              <w:top w:val="nil"/>
              <w:left w:val="nil"/>
              <w:bottom w:val="single" w:sz="8" w:space="0" w:color="auto"/>
              <w:right w:val="single" w:sz="8" w:space="0" w:color="auto"/>
            </w:tcBorders>
            <w:shd w:val="clear" w:color="auto" w:fill="auto"/>
            <w:vAlign w:val="center"/>
            <w:hideMark/>
          </w:tcPr>
          <w:p w14:paraId="4E005336" w14:textId="36245148"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2A4F0A41"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1720" w:type="dxa"/>
            <w:tcBorders>
              <w:top w:val="nil"/>
              <w:left w:val="nil"/>
              <w:bottom w:val="single" w:sz="8" w:space="0" w:color="auto"/>
              <w:right w:val="single" w:sz="8" w:space="0" w:color="auto"/>
            </w:tcBorders>
            <w:shd w:val="clear" w:color="auto" w:fill="auto"/>
            <w:vAlign w:val="center"/>
            <w:hideMark/>
          </w:tcPr>
          <w:p w14:paraId="2052590D" w14:textId="354923F3"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4</w:t>
            </w:r>
          </w:p>
        </w:tc>
      </w:tr>
      <w:tr w:rsidR="002970BA" w:rsidRPr="00894694"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1720" w:type="dxa"/>
            <w:tcBorders>
              <w:top w:val="nil"/>
              <w:left w:val="nil"/>
              <w:bottom w:val="single" w:sz="8" w:space="0" w:color="auto"/>
              <w:right w:val="single" w:sz="8" w:space="0" w:color="auto"/>
            </w:tcBorders>
            <w:shd w:val="clear" w:color="auto" w:fill="auto"/>
            <w:vAlign w:val="center"/>
            <w:hideMark/>
          </w:tcPr>
          <w:p w14:paraId="4DA7B138" w14:textId="51F4EDEE"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1720" w:type="dxa"/>
            <w:tcBorders>
              <w:top w:val="nil"/>
              <w:left w:val="nil"/>
              <w:bottom w:val="single" w:sz="8" w:space="0" w:color="auto"/>
              <w:right w:val="single" w:sz="8" w:space="0" w:color="auto"/>
            </w:tcBorders>
            <w:shd w:val="clear" w:color="auto" w:fill="auto"/>
            <w:vAlign w:val="center"/>
            <w:hideMark/>
          </w:tcPr>
          <w:p w14:paraId="25BBEE36" w14:textId="3C589655"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5</w:t>
            </w:r>
          </w:p>
        </w:tc>
      </w:tr>
      <w:tr w:rsidR="002970BA" w:rsidRPr="00894694"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1720" w:type="dxa"/>
            <w:tcBorders>
              <w:top w:val="nil"/>
              <w:left w:val="nil"/>
              <w:bottom w:val="single" w:sz="8" w:space="0" w:color="auto"/>
              <w:right w:val="single" w:sz="8" w:space="0" w:color="auto"/>
            </w:tcBorders>
            <w:shd w:val="clear" w:color="auto" w:fill="auto"/>
            <w:vAlign w:val="center"/>
            <w:hideMark/>
          </w:tcPr>
          <w:p w14:paraId="205F3DC2" w14:textId="2D8C10A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1686F7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6</w:t>
            </w:r>
          </w:p>
        </w:tc>
      </w:tr>
      <w:tr w:rsidR="002970BA" w:rsidRPr="00894694"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1720" w:type="dxa"/>
            <w:tcBorders>
              <w:top w:val="nil"/>
              <w:left w:val="nil"/>
              <w:bottom w:val="single" w:sz="8" w:space="0" w:color="auto"/>
              <w:right w:val="single" w:sz="8" w:space="0" w:color="auto"/>
            </w:tcBorders>
            <w:shd w:val="clear" w:color="auto" w:fill="auto"/>
            <w:vAlign w:val="center"/>
            <w:hideMark/>
          </w:tcPr>
          <w:p w14:paraId="3B2620BE" w14:textId="4E8A533F"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4</w:t>
            </w:r>
          </w:p>
        </w:tc>
      </w:tr>
      <w:tr w:rsidR="002970BA" w:rsidRPr="00894694"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1720" w:type="dxa"/>
            <w:tcBorders>
              <w:top w:val="nil"/>
              <w:left w:val="nil"/>
              <w:bottom w:val="single" w:sz="8" w:space="0" w:color="auto"/>
              <w:right w:val="single" w:sz="8" w:space="0" w:color="auto"/>
            </w:tcBorders>
            <w:shd w:val="clear" w:color="auto" w:fill="auto"/>
            <w:vAlign w:val="center"/>
            <w:hideMark/>
          </w:tcPr>
          <w:p w14:paraId="7ABB551C" w14:textId="2BA87852"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91CB2DC"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1720" w:type="dxa"/>
            <w:tcBorders>
              <w:top w:val="nil"/>
              <w:left w:val="nil"/>
              <w:bottom w:val="single" w:sz="8" w:space="0" w:color="auto"/>
              <w:right w:val="single" w:sz="8" w:space="0" w:color="auto"/>
            </w:tcBorders>
            <w:shd w:val="clear" w:color="auto" w:fill="auto"/>
            <w:vAlign w:val="center"/>
            <w:hideMark/>
          </w:tcPr>
          <w:p w14:paraId="2B9C733B" w14:textId="5D06904A"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7</w:t>
            </w:r>
          </w:p>
        </w:tc>
      </w:tr>
      <w:tr w:rsidR="002970BA" w:rsidRPr="00894694"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1720" w:type="dxa"/>
            <w:tcBorders>
              <w:top w:val="nil"/>
              <w:left w:val="nil"/>
              <w:bottom w:val="single" w:sz="8" w:space="0" w:color="auto"/>
              <w:right w:val="single" w:sz="8" w:space="0" w:color="auto"/>
            </w:tcBorders>
            <w:shd w:val="clear" w:color="auto" w:fill="auto"/>
            <w:vAlign w:val="center"/>
            <w:hideMark/>
          </w:tcPr>
          <w:p w14:paraId="4BF15181" w14:textId="4C7A75C2" w:rsidR="00613C12" w:rsidRPr="00E432C0" w:rsidRDefault="002970BA">
            <w:pPr>
              <w:spacing w:after="0" w:line="240" w:lineRule="auto"/>
              <w:jc w:val="center"/>
              <w:rPr>
                <w:rFonts w:ascii="Calibri" w:hAnsi="Calibri"/>
                <w:sz w:val="18"/>
                <w:szCs w:val="18"/>
              </w:rPr>
            </w:pPr>
            <w:r>
              <w:rPr>
                <w:rFonts w:ascii="Calibri" w:hAnsi="Calibri"/>
                <w:sz w:val="18"/>
              </w:rPr>
              <w:t>5</w:t>
            </w:r>
          </w:p>
        </w:tc>
      </w:tr>
      <w:tr w:rsidR="002970BA" w:rsidRPr="00894694"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1720" w:type="dxa"/>
            <w:tcBorders>
              <w:top w:val="nil"/>
              <w:left w:val="nil"/>
              <w:bottom w:val="single" w:sz="8" w:space="0" w:color="auto"/>
              <w:right w:val="single" w:sz="8" w:space="0" w:color="auto"/>
            </w:tcBorders>
            <w:shd w:val="clear" w:color="auto" w:fill="auto"/>
            <w:vAlign w:val="center"/>
            <w:hideMark/>
          </w:tcPr>
          <w:p w14:paraId="72C1C299" w14:textId="5627E5E4" w:rsidR="002970BA" w:rsidRPr="00E432C0" w:rsidRDefault="002970BA" w:rsidP="002970BA">
            <w:pPr>
              <w:spacing w:after="0" w:line="240" w:lineRule="auto"/>
              <w:jc w:val="center"/>
              <w:rPr>
                <w:rFonts w:ascii="Times New Roman" w:eastAsia="Times New Roman" w:hAnsi="Times New Roman" w:cs="Times New Roman"/>
                <w:color w:val="000000"/>
                <w:sz w:val="18"/>
                <w:szCs w:val="18"/>
              </w:rPr>
            </w:pPr>
            <w:r>
              <w:rPr>
                <w:rFonts w:ascii="Calibri" w:hAnsi="Calibri"/>
                <w:sz w:val="18"/>
              </w:rPr>
              <w:t>4</w:t>
            </w:r>
          </w:p>
        </w:tc>
      </w:tr>
    </w:tbl>
    <w:p w14:paraId="748EFC0B" w14:textId="77777777" w:rsidR="00894694" w:rsidRPr="00E432C0" w:rsidRDefault="00894694" w:rsidP="00E432C0">
      <w:pPr>
        <w:ind w:left="360"/>
        <w:jc w:val="both"/>
        <w:rPr>
          <w:rFonts w:cs="Times New Roman"/>
          <w:snapToGrid w:val="0"/>
          <w:szCs w:val="24"/>
        </w:rPr>
      </w:pPr>
    </w:p>
    <w:p w14:paraId="64F1C690" w14:textId="750A21E8" w:rsidR="00613C12" w:rsidRPr="00E432C0" w:rsidRDefault="00613C12" w:rsidP="00613C12">
      <w:pPr>
        <w:pStyle w:val="Titre2"/>
      </w:pPr>
      <w:r>
        <w:t>Soutien à l’apprentissage des langues</w:t>
      </w:r>
    </w:p>
    <w:p w14:paraId="2648531F" w14:textId="592B3C60" w:rsidR="00613C12" w:rsidRPr="00E432C0" w:rsidRDefault="00613C12" w:rsidP="00E432C0">
      <w:pPr>
        <w:spacing w:after="120" w:line="240" w:lineRule="auto"/>
        <w:ind w:left="360"/>
        <w:jc w:val="both"/>
        <w:rPr>
          <w:szCs w:val="24"/>
        </w:rPr>
      </w:pPr>
      <w:r>
        <w:rPr>
          <w:rFonts w:ascii="Times New Roman" w:hAnsi="Times New Roman"/>
          <w:sz w:val="24"/>
        </w:rPr>
        <w:t>Ce taux est applicable uniquement aux langues et/ou aux niveaux non proposés par le soutien linguistique en ligne (</w:t>
      </w:r>
      <w:r w:rsidR="006210C5">
        <w:rPr>
          <w:rFonts w:ascii="Times New Roman" w:hAnsi="Times New Roman"/>
          <w:sz w:val="24"/>
        </w:rPr>
        <w:t>SLL</w:t>
      </w:r>
      <w:r>
        <w:rPr>
          <w:rFonts w:ascii="Times New Roman" w:hAnsi="Times New Roman"/>
          <w:sz w:val="24"/>
        </w:rPr>
        <w:t>): 150 EUR par participant.</w:t>
      </w:r>
    </w:p>
    <w:p w14:paraId="40505335" w14:textId="2E0C3B36" w:rsidR="00611637" w:rsidRPr="00E432C0" w:rsidRDefault="00611637">
      <w:pPr>
        <w:pStyle w:val="Titre2"/>
        <w:rPr>
          <w:szCs w:val="24"/>
        </w:rPr>
      </w:pPr>
      <w:r>
        <w:t>Visite préparatoire</w:t>
      </w:r>
    </w:p>
    <w:p w14:paraId="53EC1794" w14:textId="52A56119" w:rsidR="00611637" w:rsidRPr="00E432C0" w:rsidRDefault="00611637" w:rsidP="002579C2">
      <w:pPr>
        <w:ind w:left="360"/>
        <w:jc w:val="both"/>
        <w:rPr>
          <w:rFonts w:cs="Times New Roman"/>
          <w:szCs w:val="24"/>
        </w:rPr>
      </w:pPr>
      <w:r>
        <w:rPr>
          <w:rFonts w:ascii="Times New Roman" w:hAnsi="Times New Roman"/>
          <w:snapToGrid w:val="0"/>
          <w:sz w:val="24"/>
        </w:rPr>
        <w:t xml:space="preserve">Coûts liés à l’organisation d’une visite préparatoire, y compris les frais de déplacement et de séjour. Contribution sur la base des coûts unitaires. </w:t>
      </w:r>
      <w:r>
        <w:rPr>
          <w:rFonts w:ascii="Times New Roman" w:hAnsi="Times New Roman"/>
          <w:sz w:val="24"/>
        </w:rPr>
        <w:t>575 EUR par participant et par visite préparatoire.</w:t>
      </w:r>
      <w:r>
        <w:rPr>
          <w:rFonts w:ascii="Times New Roman" w:hAnsi="Times New Roman"/>
          <w:snapToGrid w:val="0"/>
          <w:sz w:val="24"/>
        </w:rPr>
        <w:t xml:space="preserve"> En fonction du nombre de participants, y compris les accompagnateurs</w:t>
      </w:r>
      <w:r w:rsidRPr="009B5D89">
        <w:rPr>
          <w:rFonts w:ascii="Times New Roman" w:hAnsi="Times New Roman"/>
          <w:snapToGrid w:val="0"/>
          <w:sz w:val="24"/>
        </w:rPr>
        <w:t>. Un maximum de 2 participants par organisation participante peuvent être financés par activité, à condition que l’un d’eux soit un jeune moins favorisé qui participera à l’activité de volontariat.</w:t>
      </w:r>
    </w:p>
    <w:p w14:paraId="59943896" w14:textId="2D8AE7FB" w:rsidR="00F24269" w:rsidRPr="00E432C0" w:rsidRDefault="00613C12">
      <w:pPr>
        <w:pStyle w:val="Titre2"/>
      </w:pPr>
      <w:r>
        <w:t>Coûts exceptionnels</w:t>
      </w:r>
    </w:p>
    <w:p w14:paraId="4A669F26" w14:textId="2F634655" w:rsidR="00EC564A" w:rsidRPr="00E432C0" w:rsidRDefault="00EC564A">
      <w:pPr>
        <w:spacing w:after="120"/>
        <w:ind w:firstLine="360"/>
        <w:jc w:val="both"/>
        <w:rPr>
          <w:rFonts w:ascii="Times New Roman" w:hAnsi="Times New Roman" w:cs="Times New Roman"/>
          <w:snapToGrid w:val="0"/>
          <w:sz w:val="24"/>
          <w:szCs w:val="24"/>
        </w:rPr>
      </w:pPr>
      <w:r>
        <w:rPr>
          <w:rFonts w:ascii="Times New Roman" w:hAnsi="Times New Roman"/>
          <w:snapToGrid w:val="0"/>
          <w:sz w:val="24"/>
          <w:u w:val="single"/>
        </w:rPr>
        <w:t>100 % des coûts éligibles:</w:t>
      </w:r>
    </w:p>
    <w:p w14:paraId="561314FD" w14:textId="22EAF01A" w:rsidR="00EC564A" w:rsidRPr="009B5D89" w:rsidRDefault="00EC564A" w:rsidP="00EC564A">
      <w:pPr>
        <w:pStyle w:val="Paragraphedeliste"/>
        <w:numPr>
          <w:ilvl w:val="0"/>
          <w:numId w:val="16"/>
        </w:numPr>
        <w:jc w:val="both"/>
        <w:rPr>
          <w:rFonts w:ascii="Times New Roman" w:hAnsi="Times New Roman" w:cs="Times New Roman"/>
          <w:snapToGrid w:val="0"/>
          <w:sz w:val="24"/>
          <w:szCs w:val="24"/>
        </w:rPr>
      </w:pPr>
      <w:r w:rsidRPr="009B5D89">
        <w:rPr>
          <w:rFonts w:ascii="Times New Roman" w:hAnsi="Times New Roman"/>
          <w:snapToGrid w:val="0"/>
          <w:sz w:val="24"/>
        </w:rPr>
        <w:t>Frais de visa et frais connexes, titres de séjour, vaccins, attestations médicales, coûts liés aux exigences en matière d’autorisation.</w:t>
      </w:r>
    </w:p>
    <w:p w14:paraId="351916F6" w14:textId="07FF059B" w:rsidR="00EC564A" w:rsidRPr="009B5D89" w:rsidRDefault="00EC564A" w:rsidP="00EC564A">
      <w:pPr>
        <w:pStyle w:val="Paragraphedeliste"/>
        <w:numPr>
          <w:ilvl w:val="0"/>
          <w:numId w:val="16"/>
        </w:numPr>
        <w:jc w:val="both"/>
        <w:rPr>
          <w:rFonts w:ascii="Times New Roman" w:hAnsi="Times New Roman" w:cs="Times New Roman"/>
          <w:snapToGrid w:val="0"/>
          <w:sz w:val="24"/>
          <w:szCs w:val="24"/>
        </w:rPr>
      </w:pPr>
      <w:r w:rsidRPr="009B5D89">
        <w:rPr>
          <w:rFonts w:ascii="Times New Roman" w:hAnsi="Times New Roman"/>
          <w:snapToGrid w:val="0"/>
          <w:sz w:val="24"/>
        </w:rPr>
        <w:t>Coûts liés à l’assurance personnelle pour les activités nationales.</w:t>
      </w:r>
    </w:p>
    <w:p w14:paraId="7A6B454D" w14:textId="3B806BBE" w:rsidR="00EC564A" w:rsidRPr="009B5D89" w:rsidRDefault="00EC564A">
      <w:pPr>
        <w:pStyle w:val="Paragraphedeliste"/>
        <w:numPr>
          <w:ilvl w:val="0"/>
          <w:numId w:val="16"/>
        </w:numPr>
        <w:jc w:val="both"/>
        <w:rPr>
          <w:rFonts w:ascii="Times New Roman" w:hAnsi="Times New Roman" w:cs="Times New Roman"/>
          <w:snapToGrid w:val="0"/>
          <w:sz w:val="24"/>
          <w:szCs w:val="24"/>
        </w:rPr>
      </w:pPr>
      <w:r w:rsidRPr="009B5D89">
        <w:rPr>
          <w:rFonts w:ascii="Times New Roman" w:hAnsi="Times New Roman"/>
          <w:snapToGrid w:val="0"/>
          <w:sz w:val="24"/>
        </w:rPr>
        <w:t>Mentorat renforcé, à savoir la préparation, la mise en œuvre et le suivi d’activités sur mesure. Les demandeurs doivent justifier que le financement standard (coût unitaire de «soutien pour l’inclusion» par jour et par participant) ne couvre pas au moins 80 % des coûts exposés pour le mentorat renforcé. S’ils sont octroyés, les coûts exceptionnels visant à soutenir la participation des jeunes moins favorisés remplacent la subvention de soutien à l’inclusion.</w:t>
      </w:r>
    </w:p>
    <w:p w14:paraId="14CEBF39" w14:textId="02455BB3" w:rsidR="00EC564A" w:rsidRPr="009B5D89" w:rsidRDefault="00EC564A" w:rsidP="00E432C0">
      <w:pPr>
        <w:pStyle w:val="Paragraphedeliste"/>
        <w:numPr>
          <w:ilvl w:val="0"/>
          <w:numId w:val="16"/>
        </w:numPr>
        <w:jc w:val="both"/>
        <w:rPr>
          <w:rFonts w:ascii="Times New Roman" w:hAnsi="Times New Roman" w:cs="Times New Roman"/>
          <w:snapToGrid w:val="0"/>
          <w:sz w:val="24"/>
          <w:szCs w:val="24"/>
        </w:rPr>
      </w:pPr>
      <w:r w:rsidRPr="009B5D89">
        <w:rPr>
          <w:rFonts w:ascii="Times New Roman" w:hAnsi="Times New Roman"/>
          <w:snapToGrid w:val="0"/>
          <w:sz w:val="24"/>
        </w:rPr>
        <w:t>Coûts exposés par les organisations pour soutenir la participation des jeunes moins favorisés sur un pied d’égalité avec les autres en ce qui concerne les ajustements raisonnables ou les investissements dans des actifs physiques.</w:t>
      </w:r>
    </w:p>
    <w:p w14:paraId="39DB9C9F" w14:textId="77777777" w:rsidR="00894694" w:rsidRPr="009B5D89" w:rsidRDefault="00894694" w:rsidP="00E432C0">
      <w:pPr>
        <w:pStyle w:val="Paragraphedeliste"/>
        <w:jc w:val="both"/>
        <w:rPr>
          <w:rFonts w:ascii="Times New Roman" w:hAnsi="Times New Roman" w:cs="Times New Roman"/>
          <w:snapToGrid w:val="0"/>
          <w:sz w:val="24"/>
          <w:szCs w:val="24"/>
        </w:rPr>
      </w:pPr>
    </w:p>
    <w:p w14:paraId="66A37BB0" w14:textId="5EB304DF" w:rsidR="00EC564A" w:rsidRPr="009B5D89" w:rsidRDefault="00EC564A" w:rsidP="00EC564A">
      <w:pPr>
        <w:ind w:left="360"/>
        <w:jc w:val="both"/>
        <w:rPr>
          <w:rFonts w:ascii="Times New Roman" w:hAnsi="Times New Roman" w:cs="Times New Roman"/>
          <w:snapToGrid w:val="0"/>
          <w:sz w:val="24"/>
          <w:szCs w:val="24"/>
        </w:rPr>
      </w:pPr>
      <w:r w:rsidRPr="009B5D89">
        <w:rPr>
          <w:rFonts w:ascii="Times New Roman" w:hAnsi="Times New Roman"/>
          <w:snapToGrid w:val="0"/>
          <w:sz w:val="24"/>
          <w:u w:val="single"/>
        </w:rPr>
        <w:t>80 % des coûts éligibles:</w:t>
      </w:r>
    </w:p>
    <w:p w14:paraId="6EF4E621" w14:textId="261FAB86" w:rsidR="00EC564A" w:rsidRPr="009B5D89" w:rsidRDefault="00EC564A" w:rsidP="00E432C0">
      <w:pPr>
        <w:pStyle w:val="Paragraphedeliste"/>
        <w:numPr>
          <w:ilvl w:val="0"/>
          <w:numId w:val="15"/>
        </w:numPr>
        <w:jc w:val="both"/>
        <w:rPr>
          <w:rFonts w:ascii="Times New Roman" w:hAnsi="Times New Roman" w:cs="Times New Roman"/>
          <w:snapToGrid w:val="0"/>
          <w:sz w:val="24"/>
          <w:szCs w:val="24"/>
        </w:rPr>
      </w:pPr>
      <w:r w:rsidRPr="009B5D89">
        <w:rPr>
          <w:rFonts w:ascii="Times New Roman" w:hAnsi="Times New Roman"/>
          <w:snapToGrid w:val="0"/>
          <w:sz w:val="24"/>
        </w:rPr>
        <w:t>Coûts de la fourniture d’une garantie financière, si l’agence nationale en demande une (80 % des coûts éligibles).</w:t>
      </w:r>
    </w:p>
    <w:p w14:paraId="432FFC57" w14:textId="7527530A" w:rsidR="008B54E1" w:rsidRPr="00E432C0" w:rsidRDefault="008B54E1" w:rsidP="00E432C0">
      <w:pPr>
        <w:pStyle w:val="Paragraphedeliste"/>
        <w:numPr>
          <w:ilvl w:val="0"/>
          <w:numId w:val="15"/>
        </w:numPr>
        <w:jc w:val="both"/>
        <w:rPr>
          <w:rFonts w:ascii="Times New Roman" w:hAnsi="Times New Roman" w:cs="Times New Roman"/>
          <w:snapToGrid w:val="0"/>
          <w:sz w:val="24"/>
          <w:szCs w:val="24"/>
        </w:rPr>
      </w:pPr>
      <w:r w:rsidRPr="009B5D89">
        <w:rPr>
          <w:rFonts w:ascii="Times New Roman" w:hAnsi="Times New Roman"/>
          <w:snapToGrid w:val="0"/>
          <w:sz w:val="24"/>
        </w:rPr>
        <w:t>Frais de voyage élevés des participants (par exemple au départ et à destination des régions ultrapériphériques), notamment pour le recours à des modes de transport moins polluants, à plus faible émission de carbone, qui entraînent des frais de voyage élev</w:t>
      </w:r>
      <w:r w:rsidR="00270CB7" w:rsidRPr="009B5D89">
        <w:rPr>
          <w:rFonts w:ascii="Times New Roman" w:hAnsi="Times New Roman"/>
          <w:snapToGrid w:val="0"/>
          <w:sz w:val="24"/>
        </w:rPr>
        <w:t>és (80 % des coûts éligibles). L</w:t>
      </w:r>
      <w:r w:rsidRPr="009B5D89">
        <w:rPr>
          <w:rFonts w:ascii="Times New Roman" w:hAnsi="Times New Roman"/>
          <w:snapToGrid w:val="0"/>
          <w:sz w:val="24"/>
        </w:rPr>
        <w:t>es demandeurs doivent justifier que les règles de financement standard (basées sur les coûts</w:t>
      </w:r>
      <w:r>
        <w:rPr>
          <w:rFonts w:ascii="Times New Roman" w:hAnsi="Times New Roman"/>
          <w:snapToGrid w:val="0"/>
          <w:sz w:val="24"/>
        </w:rPr>
        <w:t xml:space="preserve"> unitaires par tranche kilométrique) ne permettent pas de couvrir au moins 70 % des frais de déplacement des participants. S’ils sont acceptés, les coûts exceptionnels pour frais de voyage élevés remplacent la contribution aux frais de voyage standard.</w:t>
      </w:r>
    </w:p>
    <w:p w14:paraId="671EC4B8" w14:textId="77777777" w:rsidR="003D3880" w:rsidRPr="00E432C0" w:rsidRDefault="003D3880" w:rsidP="00E432C0">
      <w:pPr>
        <w:pStyle w:val="Paragraphedeliste"/>
        <w:jc w:val="both"/>
        <w:rPr>
          <w:rFonts w:ascii="Times New Roman" w:hAnsi="Times New Roman" w:cs="Times New Roman"/>
          <w:snapToGrid w:val="0"/>
          <w:sz w:val="24"/>
          <w:szCs w:val="24"/>
        </w:rPr>
      </w:pPr>
    </w:p>
    <w:p w14:paraId="74551320" w14:textId="51533D12" w:rsidR="00016B01" w:rsidRPr="00E432C0" w:rsidRDefault="00A55CB7" w:rsidP="00016B01">
      <w:pPr>
        <w:pStyle w:val="Titre1"/>
        <w:rPr>
          <w:u w:val="single"/>
        </w:rPr>
      </w:pPr>
      <w:r>
        <w:rPr>
          <w:u w:val="single"/>
        </w:rPr>
        <w:t>PROJETS DE SOLIDARITÉ</w:t>
      </w:r>
    </w:p>
    <w:p w14:paraId="02478FB0" w14:textId="0E2F6913" w:rsidR="00016B01" w:rsidRPr="00E432C0" w:rsidRDefault="00F24269">
      <w:pPr>
        <w:pStyle w:val="Titre2"/>
        <w:numPr>
          <w:ilvl w:val="0"/>
          <w:numId w:val="9"/>
        </w:numPr>
      </w:pPr>
      <w:r>
        <w:t>Gestion du projet</w:t>
      </w:r>
    </w:p>
    <w:p w14:paraId="37AF85C7" w14:textId="0083519B" w:rsidR="00F24269" w:rsidRPr="00E432C0" w:rsidRDefault="00F24269" w:rsidP="00E432C0">
      <w:pPr>
        <w:spacing w:after="120" w:line="240" w:lineRule="auto"/>
        <w:ind w:left="360"/>
        <w:jc w:val="both"/>
        <w:rPr>
          <w:rFonts w:ascii="Times New Roman" w:hAnsi="Times New Roman" w:cs="Times New Roman"/>
          <w:sz w:val="24"/>
          <w:szCs w:val="24"/>
        </w:rPr>
      </w:pPr>
      <w:r>
        <w:rPr>
          <w:rFonts w:ascii="Times New Roman" w:hAnsi="Times New Roman"/>
          <w:sz w:val="24"/>
        </w:rPr>
        <w:t>Cela couvre les coûts liés à la gestion et à l’exécution du projet: 595 EUR par mois.</w:t>
      </w:r>
    </w:p>
    <w:p w14:paraId="55F00BFB" w14:textId="60FA0CF0" w:rsidR="00F24269" w:rsidRPr="00E432C0" w:rsidRDefault="00F41BFF">
      <w:pPr>
        <w:pStyle w:val="Titre2"/>
      </w:pPr>
      <w:r>
        <w:t>Coûts d’encadrement par un coach</w:t>
      </w:r>
    </w:p>
    <w:p w14:paraId="55E405EF" w14:textId="7D701555" w:rsidR="00802558" w:rsidRPr="00E432C0" w:rsidRDefault="00F41BFF" w:rsidP="0031107B">
      <w:pPr>
        <w:spacing w:after="120" w:line="240" w:lineRule="auto"/>
        <w:ind w:firstLine="360"/>
        <w:jc w:val="both"/>
        <w:rPr>
          <w:rFonts w:ascii="Times New Roman" w:hAnsi="Times New Roman"/>
        </w:rPr>
      </w:pPr>
      <w:r>
        <w:rPr>
          <w:rFonts w:ascii="Times New Roman" w:hAnsi="Times New Roman"/>
          <w:sz w:val="24"/>
        </w:rPr>
        <w:t>Cela couvre la participation facultative d’un coach au projet.</w:t>
      </w:r>
    </w:p>
    <w:p w14:paraId="27C47991" w14:textId="77777777" w:rsidR="00802558" w:rsidRPr="00E432C0" w:rsidRDefault="00802558" w:rsidP="00802558">
      <w:pPr>
        <w:spacing w:after="120" w:line="240" w:lineRule="auto"/>
        <w:ind w:firstLine="360"/>
        <w:jc w:val="both"/>
        <w:rPr>
          <w:rFonts w:ascii="Times New Roman" w:hAnsi="Times New Roman"/>
          <w:sz w:val="24"/>
          <w:szCs w:val="24"/>
        </w:rPr>
      </w:pPr>
      <w:r>
        <w:rPr>
          <w:rFonts w:ascii="Times New Roman" w:hAnsi="Times New Roman"/>
          <w:sz w:val="24"/>
        </w:rPr>
        <w:t>Nota bene: les coûts d’encadrement par un coach peuvent uniquement être pris en charge pour un maximum de 12 jours.</w:t>
      </w:r>
    </w:p>
    <w:p w14:paraId="64C94621" w14:textId="6C8B5E3B" w:rsidR="00F24269" w:rsidRPr="00E432C0" w:rsidRDefault="00F24269" w:rsidP="0031107B">
      <w:pPr>
        <w:spacing w:after="120" w:line="240" w:lineRule="auto"/>
        <w:ind w:firstLine="360"/>
        <w:jc w:val="both"/>
        <w:rPr>
          <w:rFonts w:ascii="Times New Roman" w:hAnsi="Times New Roman" w:cs="Times New Roman"/>
          <w:sz w:val="24"/>
          <w:szCs w:val="24"/>
        </w:rPr>
      </w:pPr>
    </w:p>
    <w:p w14:paraId="07D595A1" w14:textId="77777777" w:rsidR="00894694" w:rsidRDefault="00894694" w:rsidP="0031107B">
      <w:pPr>
        <w:spacing w:after="120" w:line="240" w:lineRule="auto"/>
        <w:jc w:val="center"/>
        <w:rPr>
          <w:rFonts w:ascii="Times New Roman" w:hAnsi="Times New Roman" w:cs="Times New Roman"/>
          <w:u w:val="single"/>
        </w:rPr>
        <w:sectPr w:rsidR="00894694" w:rsidSect="00122185">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4" w:left="1417" w:header="708" w:footer="708" w:gutter="0"/>
          <w:cols w:space="708"/>
          <w:docGrid w:linePitch="360"/>
        </w:sectPr>
      </w:pPr>
    </w:p>
    <w:p w14:paraId="39AAF1DF" w14:textId="7A7D1B54" w:rsidR="00F41BFF" w:rsidRPr="00E432C0" w:rsidRDefault="00F41BFF" w:rsidP="0031107B">
      <w:pPr>
        <w:spacing w:after="120" w:line="240" w:lineRule="auto"/>
        <w:jc w:val="center"/>
        <w:rPr>
          <w:rFonts w:ascii="Times New Roman" w:hAnsi="Times New Roman" w:cs="Times New Roman"/>
        </w:rPr>
      </w:pPr>
      <w:r>
        <w:rPr>
          <w:rFonts w:ascii="Times New Roman" w:hAnsi="Times New Roman"/>
          <w:u w:val="single"/>
        </w:rPr>
        <w:t>Tableau 5 – Coûts d’encadrement par un coach</w:t>
      </w:r>
    </w:p>
    <w:tbl>
      <w:tblPr>
        <w:tblW w:w="9320" w:type="dxa"/>
        <w:tblInd w:w="108" w:type="dxa"/>
        <w:tblLook w:val="04A0" w:firstRow="1" w:lastRow="0" w:firstColumn="1" w:lastColumn="0" w:noHBand="0" w:noVBand="1"/>
      </w:tblPr>
      <w:tblGrid>
        <w:gridCol w:w="7360"/>
        <w:gridCol w:w="1960"/>
      </w:tblGrid>
      <w:tr w:rsidR="00F41BFF" w:rsidRPr="00894694"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514A2809" w:rsidR="00F41BFF" w:rsidRPr="00E432C0" w:rsidRDefault="00F41BFF" w:rsidP="00F41BFF">
            <w:pPr>
              <w:spacing w:after="0" w:line="240" w:lineRule="auto"/>
              <w:rPr>
                <w:rFonts w:ascii="Times New Roman" w:eastAsia="Times New Roman" w:hAnsi="Times New Roman" w:cs="Times New Roman"/>
                <w:color w:val="000000"/>
                <w:sz w:val="18"/>
                <w:szCs w:val="18"/>
              </w:rPr>
            </w:pP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Coûts d’encadrement par un coach</w:t>
            </w:r>
          </w:p>
        </w:tc>
      </w:tr>
      <w:tr w:rsidR="00F41BFF" w:rsidRPr="00894694"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E432C0"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(EUR par jour)</w:t>
            </w:r>
          </w:p>
        </w:tc>
      </w:tr>
      <w:tr w:rsidR="00F41BFF" w:rsidRPr="00894694"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Projets de solidarité</w:t>
            </w:r>
          </w:p>
        </w:tc>
      </w:tr>
      <w:tr w:rsidR="00F41BFF" w:rsidRPr="00894694"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946508B" w:rsidR="00F41BFF" w:rsidRPr="0065742C"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Autriche, Danemark, Irlande, Luxembourg, Pays-Bas, Suède, Liechtenstein</w:t>
            </w:r>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241</w:t>
            </w:r>
          </w:p>
        </w:tc>
      </w:tr>
      <w:tr w:rsidR="00F41BFF" w:rsidRPr="00894694"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2C8E5DC7" w:rsidR="00F41BFF" w:rsidRPr="00E432C0" w:rsidRDefault="00F41BFF" w:rsidP="00DC2B52">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Belgique, Finlande, France, Allemagne, Italie, Islande</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sidRPr="009B5D89">
              <w:rPr>
                <w:rFonts w:ascii="Times New Roman" w:hAnsi="Times New Roman"/>
                <w:color w:val="000000"/>
                <w:sz w:val="18"/>
              </w:rPr>
              <w:t>214</w:t>
            </w:r>
          </w:p>
        </w:tc>
      </w:tr>
      <w:tr w:rsidR="00F41BFF" w:rsidRPr="00894694"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E432C0"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Chypre, Espagne, Grèce, Malte, Portugal, République tchèque, Slovénie</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137</w:t>
            </w:r>
          </w:p>
        </w:tc>
      </w:tr>
      <w:tr w:rsidR="00F41BFF" w:rsidRPr="00894694" w14:paraId="5557D86D" w14:textId="77777777" w:rsidTr="00E432C0">
        <w:trPr>
          <w:trHeight w:hRule="exact" w:val="491"/>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6CB0634C" w:rsidR="00F41BFF" w:rsidRPr="00E432C0"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Bulgarie, Croatie, Estonie, Hongrie, Lettonie, Lituanie, Pologne, Roumanie, Slovaquie, République de Macédoine du Nord, Turquie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74</w:t>
            </w:r>
          </w:p>
        </w:tc>
      </w:tr>
    </w:tbl>
    <w:p w14:paraId="4298AF67" w14:textId="77777777" w:rsidR="00894694" w:rsidRPr="00E432C0" w:rsidRDefault="00894694" w:rsidP="00E432C0">
      <w:pPr>
        <w:ind w:left="360"/>
        <w:jc w:val="both"/>
        <w:rPr>
          <w:rFonts w:cs="Times New Roman"/>
          <w:snapToGrid w:val="0"/>
          <w:szCs w:val="24"/>
        </w:rPr>
      </w:pPr>
    </w:p>
    <w:p w14:paraId="170C7CA8" w14:textId="7BC22C97" w:rsidR="00F41BFF" w:rsidRPr="00E432C0" w:rsidRDefault="00894694">
      <w:pPr>
        <w:pStyle w:val="Titre2"/>
      </w:pPr>
      <w:r>
        <w:t>Coûts exceptionnels</w:t>
      </w:r>
    </w:p>
    <w:p w14:paraId="6F80E834" w14:textId="0F13A54A" w:rsidR="003D3880" w:rsidRPr="00E432C0" w:rsidRDefault="003D3880" w:rsidP="003D3880">
      <w:pPr>
        <w:pStyle w:val="Default"/>
        <w:jc w:val="both"/>
        <w:rPr>
          <w:rFonts w:ascii="Times New Roman" w:hAnsi="Times New Roman" w:cs="Times New Roman"/>
          <w:snapToGrid w:val="0"/>
        </w:rPr>
      </w:pPr>
      <w:r>
        <w:rPr>
          <w:rFonts w:ascii="Times New Roman" w:hAnsi="Times New Roman"/>
          <w:snapToGrid w:val="0"/>
          <w:u w:val="single"/>
        </w:rPr>
        <w:t>100 % des coûts éligibles:</w:t>
      </w:r>
    </w:p>
    <w:p w14:paraId="396D29BF" w14:textId="42B63BBD" w:rsidR="003D3880" w:rsidRPr="00E432C0" w:rsidRDefault="003D3880" w:rsidP="003D3880">
      <w:pPr>
        <w:pStyle w:val="Default"/>
        <w:jc w:val="both"/>
        <w:rPr>
          <w:sz w:val="18"/>
          <w:szCs w:val="18"/>
        </w:rPr>
      </w:pPr>
    </w:p>
    <w:p w14:paraId="0181F04B" w14:textId="422FF79D" w:rsidR="00623E8B" w:rsidRPr="00E432C0" w:rsidRDefault="00623E8B" w:rsidP="00623E8B">
      <w:pPr>
        <w:pStyle w:val="Paragraphedeliste"/>
        <w:numPr>
          <w:ilvl w:val="0"/>
          <w:numId w:val="15"/>
        </w:numPr>
        <w:jc w:val="both"/>
        <w:rPr>
          <w:rFonts w:ascii="Times New Roman" w:hAnsi="Times New Roman" w:cs="Times New Roman"/>
          <w:snapToGrid w:val="0"/>
          <w:sz w:val="24"/>
          <w:szCs w:val="24"/>
        </w:rPr>
      </w:pPr>
      <w:r>
        <w:rPr>
          <w:rFonts w:ascii="Times New Roman" w:hAnsi="Times New Roman"/>
          <w:snapToGrid w:val="0"/>
          <w:sz w:val="24"/>
        </w:rPr>
        <w:t>Coûts afférents au soutien de la participation des jeunes moins favorisés (membres du groupe mettant en œuvre le projet).</w:t>
      </w:r>
    </w:p>
    <w:p w14:paraId="55A18642" w14:textId="70EC1CD3" w:rsidR="003D3880" w:rsidRPr="00E432C0" w:rsidRDefault="00623E8B" w:rsidP="00E432C0">
      <w:pPr>
        <w:pStyle w:val="Paragraphedeliste"/>
        <w:numPr>
          <w:ilvl w:val="0"/>
          <w:numId w:val="15"/>
        </w:numPr>
        <w:jc w:val="both"/>
        <w:rPr>
          <w:rFonts w:ascii="Times New Roman" w:hAnsi="Times New Roman" w:cs="Times New Roman"/>
          <w:snapToGrid w:val="0"/>
          <w:sz w:val="24"/>
          <w:szCs w:val="24"/>
        </w:rPr>
      </w:pPr>
      <w:r>
        <w:rPr>
          <w:rFonts w:ascii="Times New Roman" w:hAnsi="Times New Roman"/>
          <w:snapToGrid w:val="0"/>
          <w:sz w:val="24"/>
        </w:rPr>
        <w:t>Coûts afférents au soutien de la participation des personnes moins favorisées qui constituent un groupe cible du projet.</w:t>
      </w:r>
    </w:p>
    <w:p w14:paraId="117875FF" w14:textId="77777777" w:rsidR="00623E8B" w:rsidRPr="00E432C0" w:rsidRDefault="00623E8B" w:rsidP="00E432C0">
      <w:pPr>
        <w:jc w:val="both"/>
      </w:pPr>
    </w:p>
    <w:p w14:paraId="2BE763B2" w14:textId="2DC4275D" w:rsidR="003D3880" w:rsidRPr="00E432C0" w:rsidRDefault="003D3880" w:rsidP="00E432C0">
      <w:pPr>
        <w:spacing w:after="120" w:line="240" w:lineRule="auto"/>
        <w:ind w:firstLine="360"/>
        <w:jc w:val="both"/>
        <w:rPr>
          <w:rFonts w:ascii="Times New Roman" w:hAnsi="Times New Roman" w:cs="Times New Roman"/>
          <w:sz w:val="24"/>
          <w:szCs w:val="24"/>
        </w:rPr>
      </w:pPr>
      <w:r>
        <w:rPr>
          <w:rFonts w:ascii="Times New Roman" w:hAnsi="Times New Roman"/>
          <w:sz w:val="24"/>
        </w:rPr>
        <w:t>La ou les demande(s) d’aide financière visant à couvrir des coûts exceptionnels doivent être dûment justifiées et motivées dans le formulaire de demande et être approuvées par l’agence nationale.</w:t>
      </w:r>
    </w:p>
    <w:p w14:paraId="2B103C95" w14:textId="32AD30ED" w:rsidR="00F41BFF" w:rsidRPr="00E432C0" w:rsidRDefault="003D3880" w:rsidP="00E432C0">
      <w:pPr>
        <w:spacing w:after="120" w:line="240" w:lineRule="auto"/>
        <w:ind w:firstLine="360"/>
        <w:jc w:val="both"/>
        <w:rPr>
          <w:rFonts w:ascii="Times New Roman" w:hAnsi="Times New Roman" w:cs="Times New Roman"/>
          <w:sz w:val="24"/>
          <w:szCs w:val="24"/>
        </w:rPr>
      </w:pPr>
      <w:r>
        <w:rPr>
          <w:rFonts w:ascii="Times New Roman" w:hAnsi="Times New Roman"/>
          <w:sz w:val="24"/>
        </w:rPr>
        <w:t xml:space="preserve">La demande d’aide financière visant à couvrir des coûts exceptionnels pour les personnes moins </w:t>
      </w:r>
      <w:r w:rsidRPr="009B5D89">
        <w:rPr>
          <w:rFonts w:ascii="Times New Roman" w:hAnsi="Times New Roman"/>
          <w:sz w:val="24"/>
        </w:rPr>
        <w:t>favorisées qui constituent un groupe cible du projet ne doit pas dépasser 7 000 EUR par projet.</w:t>
      </w:r>
      <w:bookmarkStart w:id="0" w:name="_GoBack"/>
      <w:bookmarkEnd w:id="0"/>
    </w:p>
    <w:p w14:paraId="0CC90689" w14:textId="7B2FCE1B" w:rsidR="00F41BFF" w:rsidRPr="00E432C0" w:rsidRDefault="00F41BFF" w:rsidP="00AD34F3">
      <w:pPr>
        <w:spacing w:after="120" w:line="240" w:lineRule="auto"/>
        <w:jc w:val="both"/>
        <w:rPr>
          <w:rFonts w:ascii="Times New Roman" w:hAnsi="Times New Roman" w:cs="Times New Roman"/>
          <w:sz w:val="24"/>
          <w:szCs w:val="24"/>
        </w:rPr>
      </w:pPr>
    </w:p>
    <w:sectPr w:rsidR="00F41BFF" w:rsidRPr="00E432C0" w:rsidSect="0012218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B5219" w14:textId="77777777" w:rsidR="001B53F9" w:rsidRDefault="001B53F9" w:rsidP="000548A7">
      <w:pPr>
        <w:spacing w:after="0" w:line="240" w:lineRule="auto"/>
      </w:pPr>
      <w:r>
        <w:separator/>
      </w:r>
    </w:p>
  </w:endnote>
  <w:endnote w:type="continuationSeparator" w:id="0">
    <w:p w14:paraId="318282C6" w14:textId="77777777" w:rsidR="001B53F9" w:rsidRDefault="001B53F9" w:rsidP="0005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2FEA" w14:textId="77777777" w:rsidR="00465FED" w:rsidRDefault="00465F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79524"/>
      <w:docPartObj>
        <w:docPartGallery w:val="Page Numbers (Bottom of Page)"/>
        <w:docPartUnique/>
      </w:docPartObj>
    </w:sdtPr>
    <w:sdtEndPr>
      <w:rPr>
        <w:noProof/>
      </w:rPr>
    </w:sdtEndPr>
    <w:sdtContent>
      <w:p w14:paraId="681F0061" w14:textId="1C0C72EB" w:rsidR="000548A7" w:rsidRDefault="000548A7">
        <w:pPr>
          <w:pStyle w:val="Pieddepage"/>
          <w:jc w:val="right"/>
        </w:pPr>
        <w:r>
          <w:fldChar w:fldCharType="begin"/>
        </w:r>
        <w:r>
          <w:instrText xml:space="preserve"> PAGE   \* MERGEFORMAT </w:instrText>
        </w:r>
        <w:r>
          <w:fldChar w:fldCharType="separate"/>
        </w:r>
        <w:r w:rsidR="009B5D89">
          <w:rPr>
            <w:noProof/>
          </w:rPr>
          <w:t>6</w:t>
        </w:r>
        <w:r>
          <w:fldChar w:fldCharType="end"/>
        </w:r>
      </w:p>
    </w:sdtContent>
  </w:sdt>
  <w:p w14:paraId="5E46AE4F" w14:textId="77777777" w:rsidR="000548A7" w:rsidRDefault="000548A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C89F" w14:textId="77777777" w:rsidR="00465FED" w:rsidRDefault="00465F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A549" w14:textId="77777777" w:rsidR="001B53F9" w:rsidRDefault="001B53F9" w:rsidP="000548A7">
      <w:pPr>
        <w:spacing w:after="0" w:line="240" w:lineRule="auto"/>
      </w:pPr>
      <w:r>
        <w:separator/>
      </w:r>
    </w:p>
  </w:footnote>
  <w:footnote w:type="continuationSeparator" w:id="0">
    <w:p w14:paraId="0B1D9463" w14:textId="77777777" w:rsidR="001B53F9" w:rsidRDefault="001B53F9" w:rsidP="000548A7">
      <w:pPr>
        <w:spacing w:after="0" w:line="240" w:lineRule="auto"/>
      </w:pPr>
      <w:r>
        <w:continuationSeparator/>
      </w:r>
    </w:p>
  </w:footnote>
  <w:footnote w:id="1">
    <w:p w14:paraId="46919680" w14:textId="2A1E92F3" w:rsidR="00613C12" w:rsidRPr="00E432C0" w:rsidRDefault="00613C12">
      <w:pPr>
        <w:pStyle w:val="Notedebasdepage"/>
      </w:pPr>
      <w:r>
        <w:rPr>
          <w:rStyle w:val="Appelnotedebasdep"/>
        </w:rPr>
        <w:footnoteRef/>
      </w:r>
      <w:r>
        <w:t xml:space="preserve"> </w:t>
      </w:r>
      <w:hyperlink r:id="rId1" w:history="1">
        <w:r>
          <w:rPr>
            <w:rStyle w:val="Lienhypertexte"/>
            <w:sz w:val="16"/>
          </w:rPr>
          <w:t>https://erasmus-plus.ec.europa.eu/resources-and-tools/distance-calculator</w:t>
        </w:r>
      </w:hyperlink>
      <w:r>
        <w:t>, par exemple, si une personne de Madrid (Espagne) participe à une activité se déroulant à Rome (Italie), le demandeur a) calculera la distance entre Madrid et Rome (1 365,28 km); b) sélectionnera la tranche kilométrique applicable (c’est-à-dire entre 500 et 1 999 km) et c) calculera la subvention de l’UE destinée à contribuer à ses frais de déplacement aller-retour entre Madrid et Rome (275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A4FD" w14:textId="77777777" w:rsidR="00465FED" w:rsidRDefault="00465F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5CD7" w14:textId="77777777" w:rsidR="00465FED" w:rsidRDefault="00465F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E256" w14:textId="77777777" w:rsidR="00465FED" w:rsidRDefault="00465F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4BCD"/>
    <w:multiLevelType w:val="hybridMultilevel"/>
    <w:tmpl w:val="A9A6B4A2"/>
    <w:lvl w:ilvl="0" w:tplc="8D92A0B4">
      <w:start w:val="10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283C46"/>
    <w:multiLevelType w:val="hybridMultilevel"/>
    <w:tmpl w:val="4ECC4212"/>
    <w:lvl w:ilvl="0" w:tplc="DDE09100">
      <w:start w:val="1"/>
      <w:numFmt w:val="upperLetter"/>
      <w:pStyle w:val="Titr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52AD7263"/>
    <w:multiLevelType w:val="hybridMultilevel"/>
    <w:tmpl w:val="E916AED6"/>
    <w:lvl w:ilvl="0" w:tplc="D728D0EC">
      <w:start w:val="1"/>
      <w:numFmt w:val="decimal"/>
      <w:pStyle w:val="Titre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C226518"/>
    <w:multiLevelType w:val="hybridMultilevel"/>
    <w:tmpl w:val="06E849C4"/>
    <w:lvl w:ilvl="0" w:tplc="76844A62">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1"/>
    <w:lvlOverride w:ilvl="0">
      <w:startOverride w:val="1"/>
    </w:lvlOverride>
  </w:num>
  <w:num w:numId="7">
    <w:abstractNumId w:val="8"/>
  </w:num>
  <w:num w:numId="8">
    <w:abstractNumId w:val="2"/>
  </w:num>
  <w:num w:numId="9">
    <w:abstractNumId w:val="8"/>
    <w:lvlOverride w:ilvl="0">
      <w:startOverride w:val="1"/>
    </w:lvlOverride>
  </w:num>
  <w:num w:numId="10">
    <w:abstractNumId w:val="8"/>
    <w:lvlOverride w:ilvl="0">
      <w:startOverride w:val="1"/>
    </w:lvlOverride>
  </w:num>
  <w:num w:numId="11">
    <w:abstractNumId w:val="9"/>
  </w:num>
  <w:num w:numId="12">
    <w:abstractNumId w:val="6"/>
  </w:num>
  <w:num w:numId="13">
    <w:abstractNumId w:val="8"/>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01BC"/>
    <w:rsid w:val="00011D70"/>
    <w:rsid w:val="00016B01"/>
    <w:rsid w:val="000221D8"/>
    <w:rsid w:val="000548A7"/>
    <w:rsid w:val="000D7CB9"/>
    <w:rsid w:val="000E3163"/>
    <w:rsid w:val="00122185"/>
    <w:rsid w:val="0017299B"/>
    <w:rsid w:val="00193797"/>
    <w:rsid w:val="001B53F9"/>
    <w:rsid w:val="001E4F98"/>
    <w:rsid w:val="001F5421"/>
    <w:rsid w:val="002579C2"/>
    <w:rsid w:val="00270CB7"/>
    <w:rsid w:val="0027224A"/>
    <w:rsid w:val="002970BA"/>
    <w:rsid w:val="002B74B3"/>
    <w:rsid w:val="002B7D92"/>
    <w:rsid w:val="002D28FF"/>
    <w:rsid w:val="0031107B"/>
    <w:rsid w:val="003808AE"/>
    <w:rsid w:val="00394615"/>
    <w:rsid w:val="003B79BE"/>
    <w:rsid w:val="003D3880"/>
    <w:rsid w:val="003E3FCC"/>
    <w:rsid w:val="00427103"/>
    <w:rsid w:val="00430D12"/>
    <w:rsid w:val="00465DC5"/>
    <w:rsid w:val="00465FED"/>
    <w:rsid w:val="004C15B3"/>
    <w:rsid w:val="004C6A6D"/>
    <w:rsid w:val="004F2F4E"/>
    <w:rsid w:val="005718C6"/>
    <w:rsid w:val="005A6881"/>
    <w:rsid w:val="005D0D84"/>
    <w:rsid w:val="00611637"/>
    <w:rsid w:val="00613C12"/>
    <w:rsid w:val="006210C5"/>
    <w:rsid w:val="00623E8B"/>
    <w:rsid w:val="00656E6C"/>
    <w:rsid w:val="0065742C"/>
    <w:rsid w:val="006D1AF1"/>
    <w:rsid w:val="006E7525"/>
    <w:rsid w:val="0072048B"/>
    <w:rsid w:val="007208B8"/>
    <w:rsid w:val="007443FC"/>
    <w:rsid w:val="00802558"/>
    <w:rsid w:val="00850120"/>
    <w:rsid w:val="00866095"/>
    <w:rsid w:val="00881FFE"/>
    <w:rsid w:val="0089205D"/>
    <w:rsid w:val="00894694"/>
    <w:rsid w:val="008A67BF"/>
    <w:rsid w:val="008B54E1"/>
    <w:rsid w:val="008C3400"/>
    <w:rsid w:val="008E179D"/>
    <w:rsid w:val="00970744"/>
    <w:rsid w:val="009723B4"/>
    <w:rsid w:val="00991573"/>
    <w:rsid w:val="00996C1C"/>
    <w:rsid w:val="00997EB1"/>
    <w:rsid w:val="009A01BC"/>
    <w:rsid w:val="009B5D89"/>
    <w:rsid w:val="009D6416"/>
    <w:rsid w:val="009F1623"/>
    <w:rsid w:val="00A2503E"/>
    <w:rsid w:val="00A46EBA"/>
    <w:rsid w:val="00A55CB7"/>
    <w:rsid w:val="00A91261"/>
    <w:rsid w:val="00AC6EA8"/>
    <w:rsid w:val="00AD34F3"/>
    <w:rsid w:val="00AF39D2"/>
    <w:rsid w:val="00AF72EB"/>
    <w:rsid w:val="00B13280"/>
    <w:rsid w:val="00B32897"/>
    <w:rsid w:val="00B44A05"/>
    <w:rsid w:val="00B716A6"/>
    <w:rsid w:val="00B808F4"/>
    <w:rsid w:val="00BC496D"/>
    <w:rsid w:val="00BC62D6"/>
    <w:rsid w:val="00BD147B"/>
    <w:rsid w:val="00BD7D67"/>
    <w:rsid w:val="00BE35D0"/>
    <w:rsid w:val="00C012D3"/>
    <w:rsid w:val="00C30857"/>
    <w:rsid w:val="00D16EFE"/>
    <w:rsid w:val="00D36C2F"/>
    <w:rsid w:val="00D60AE3"/>
    <w:rsid w:val="00D962C9"/>
    <w:rsid w:val="00DA0E6A"/>
    <w:rsid w:val="00DC2B52"/>
    <w:rsid w:val="00DE37ED"/>
    <w:rsid w:val="00DE439A"/>
    <w:rsid w:val="00E06CE8"/>
    <w:rsid w:val="00E432C0"/>
    <w:rsid w:val="00EC564A"/>
    <w:rsid w:val="00EC5652"/>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80"/>
  </w:style>
  <w:style w:type="paragraph" w:styleId="Titre1">
    <w:name w:val="heading 1"/>
    <w:basedOn w:val="Normal"/>
    <w:next w:val="Normal"/>
    <w:link w:val="Titre1C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Titre2">
    <w:name w:val="heading 2"/>
    <w:basedOn w:val="Normal"/>
    <w:next w:val="Normal"/>
    <w:link w:val="Titre2C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Titre3">
    <w:name w:val="heading 3"/>
    <w:basedOn w:val="Normal"/>
    <w:next w:val="Normal"/>
    <w:link w:val="Titre3C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9A"/>
    <w:rPr>
      <w:rFonts w:ascii="Tahoma" w:hAnsi="Tahoma" w:cs="Tahoma"/>
      <w:sz w:val="16"/>
      <w:szCs w:val="16"/>
    </w:rPr>
  </w:style>
  <w:style w:type="paragraph" w:styleId="Paragraphedeliste">
    <w:name w:val="List Paragraph"/>
    <w:basedOn w:val="Normal"/>
    <w:uiPriority w:val="34"/>
    <w:qFormat/>
    <w:rsid w:val="00394615"/>
    <w:pPr>
      <w:spacing w:after="0" w:line="240" w:lineRule="auto"/>
      <w:ind w:left="720"/>
    </w:pPr>
    <w:rPr>
      <w:rFonts w:ascii="Calibri" w:eastAsia="SimSun" w:hAnsi="Calibri" w:cs="Calibri"/>
    </w:rPr>
  </w:style>
  <w:style w:type="paragraph" w:styleId="Rvision">
    <w:name w:val="Revision"/>
    <w:hidden/>
    <w:uiPriority w:val="99"/>
    <w:semiHidden/>
    <w:rsid w:val="00193797"/>
    <w:pPr>
      <w:spacing w:after="0" w:line="240" w:lineRule="auto"/>
    </w:pPr>
  </w:style>
  <w:style w:type="character" w:customStyle="1" w:styleId="Titre1Car">
    <w:name w:val="Titre 1 Car"/>
    <w:basedOn w:val="Policepardfaut"/>
    <w:link w:val="Titre1"/>
    <w:uiPriority w:val="9"/>
    <w:rsid w:val="00BE35D0"/>
    <w:rPr>
      <w:rFonts w:ascii="Times New Roman" w:eastAsiaTheme="majorEastAsia" w:hAnsi="Times New Roman" w:cstheme="majorBidi"/>
      <w:sz w:val="24"/>
      <w:szCs w:val="32"/>
    </w:rPr>
  </w:style>
  <w:style w:type="character" w:customStyle="1" w:styleId="Titre2Car">
    <w:name w:val="Titre 2 Car"/>
    <w:basedOn w:val="Policepardfaut"/>
    <w:link w:val="Titre2"/>
    <w:uiPriority w:val="9"/>
    <w:rsid w:val="00A55CB7"/>
    <w:rPr>
      <w:rFonts w:ascii="Times New Roman" w:eastAsiaTheme="majorEastAsia" w:hAnsi="Times New Roman" w:cstheme="majorBidi"/>
      <w:sz w:val="24"/>
      <w:szCs w:val="26"/>
      <w:u w:val="single"/>
    </w:rPr>
  </w:style>
  <w:style w:type="character" w:customStyle="1" w:styleId="Titre3Car">
    <w:name w:val="Titre 3 Car"/>
    <w:basedOn w:val="Policepardfaut"/>
    <w:link w:val="Titre3"/>
    <w:uiPriority w:val="9"/>
    <w:rsid w:val="00F34B61"/>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5A6881"/>
    <w:rPr>
      <w:sz w:val="16"/>
      <w:szCs w:val="16"/>
    </w:rPr>
  </w:style>
  <w:style w:type="paragraph" w:styleId="Commentaire">
    <w:name w:val="annotation text"/>
    <w:basedOn w:val="Normal"/>
    <w:link w:val="CommentaireCar"/>
    <w:uiPriority w:val="99"/>
    <w:semiHidden/>
    <w:unhideWhenUsed/>
    <w:rsid w:val="005A6881"/>
    <w:pPr>
      <w:spacing w:line="240" w:lineRule="auto"/>
    </w:pPr>
    <w:rPr>
      <w:sz w:val="20"/>
      <w:szCs w:val="20"/>
    </w:rPr>
  </w:style>
  <w:style w:type="character" w:customStyle="1" w:styleId="CommentaireCar">
    <w:name w:val="Commentaire Car"/>
    <w:basedOn w:val="Policepardfaut"/>
    <w:link w:val="Commentaire"/>
    <w:uiPriority w:val="99"/>
    <w:semiHidden/>
    <w:rsid w:val="005A6881"/>
    <w:rPr>
      <w:sz w:val="20"/>
      <w:szCs w:val="20"/>
    </w:rPr>
  </w:style>
  <w:style w:type="paragraph" w:styleId="Objetducommentaire">
    <w:name w:val="annotation subject"/>
    <w:basedOn w:val="Commentaire"/>
    <w:next w:val="Commentaire"/>
    <w:link w:val="ObjetducommentaireCar"/>
    <w:uiPriority w:val="99"/>
    <w:semiHidden/>
    <w:unhideWhenUsed/>
    <w:rsid w:val="005A6881"/>
    <w:rPr>
      <w:b/>
      <w:bCs/>
    </w:rPr>
  </w:style>
  <w:style w:type="character" w:customStyle="1" w:styleId="ObjetducommentaireCar">
    <w:name w:val="Objet du commentaire Car"/>
    <w:basedOn w:val="CommentaireCar"/>
    <w:link w:val="Objetducommentaire"/>
    <w:uiPriority w:val="99"/>
    <w:semiHidden/>
    <w:rsid w:val="005A6881"/>
    <w:rPr>
      <w:b/>
      <w:bCs/>
      <w:sz w:val="20"/>
      <w:szCs w:val="20"/>
    </w:rPr>
  </w:style>
  <w:style w:type="paragraph" w:styleId="En-tte">
    <w:name w:val="header"/>
    <w:basedOn w:val="Normal"/>
    <w:link w:val="En-tteCar"/>
    <w:uiPriority w:val="99"/>
    <w:unhideWhenUsed/>
    <w:rsid w:val="000548A7"/>
    <w:pPr>
      <w:tabs>
        <w:tab w:val="center" w:pos="4513"/>
        <w:tab w:val="right" w:pos="9026"/>
      </w:tabs>
      <w:spacing w:after="0" w:line="240" w:lineRule="auto"/>
    </w:pPr>
  </w:style>
  <w:style w:type="character" w:customStyle="1" w:styleId="En-tteCar">
    <w:name w:val="En-tête Car"/>
    <w:basedOn w:val="Policepardfaut"/>
    <w:link w:val="En-tte"/>
    <w:uiPriority w:val="99"/>
    <w:rsid w:val="000548A7"/>
  </w:style>
  <w:style w:type="paragraph" w:styleId="Pieddepage">
    <w:name w:val="footer"/>
    <w:basedOn w:val="Normal"/>
    <w:link w:val="PieddepageCar"/>
    <w:uiPriority w:val="99"/>
    <w:unhideWhenUsed/>
    <w:rsid w:val="000548A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48A7"/>
  </w:style>
  <w:style w:type="paragraph" w:styleId="Notedebasdepage">
    <w:name w:val="footnote text"/>
    <w:basedOn w:val="Normal"/>
    <w:link w:val="NotedebasdepageCar"/>
    <w:uiPriority w:val="99"/>
    <w:semiHidden/>
    <w:unhideWhenUsed/>
    <w:rsid w:val="00613C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3C12"/>
    <w:rPr>
      <w:sz w:val="20"/>
      <w:szCs w:val="20"/>
    </w:rPr>
  </w:style>
  <w:style w:type="character" w:styleId="Appelnotedebasdep">
    <w:name w:val="footnote reference"/>
    <w:basedOn w:val="Policepardfaut"/>
    <w:uiPriority w:val="99"/>
    <w:semiHidden/>
    <w:unhideWhenUsed/>
    <w:rsid w:val="00613C12"/>
    <w:rPr>
      <w:vertAlign w:val="superscript"/>
    </w:rPr>
  </w:style>
  <w:style w:type="character" w:styleId="Lienhypertexte">
    <w:name w:val="Hyperlink"/>
    <w:basedOn w:val="Policepardfaut"/>
    <w:uiPriority w:val="99"/>
    <w:unhideWhenUsed/>
    <w:rsid w:val="00613C12"/>
    <w:rPr>
      <w:color w:val="0000FF" w:themeColor="hyperlink"/>
      <w:u w:val="single"/>
    </w:rPr>
  </w:style>
  <w:style w:type="character" w:styleId="Lienhypertextesuivivisit">
    <w:name w:val="FollowedHyperlink"/>
    <w:basedOn w:val="Policepardfaut"/>
    <w:uiPriority w:val="99"/>
    <w:semiHidden/>
    <w:unhideWhenUsed/>
    <w:rsid w:val="00613C12"/>
    <w:rPr>
      <w:color w:val="800080" w:themeColor="followedHyperlink"/>
      <w:u w:val="single"/>
    </w:rPr>
  </w:style>
  <w:style w:type="paragraph" w:customStyle="1" w:styleId="Default">
    <w:name w:val="Default"/>
    <w:rsid w:val="008B54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resources-and-tools/distan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2.xml><?xml version="1.0" encoding="utf-8"?>
<ds:datastoreItem xmlns:ds="http://schemas.openxmlformats.org/officeDocument/2006/customXml" ds:itemID="{7D058113-DEDB-4728-AED2-554BB338C303}">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3.xml><?xml version="1.0" encoding="utf-8"?>
<ds:datastoreItem xmlns:ds="http://schemas.openxmlformats.org/officeDocument/2006/customXml" ds:itemID="{05B73E3F-E80A-4FBD-92AB-A2054039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9D41E-34F1-45FD-84DA-56EC848F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1115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Irina Séchery </cp:lastModifiedBy>
  <cp:revision>4</cp:revision>
  <cp:lastPrinted>2016-04-13T08:12:00Z</cp:lastPrinted>
  <dcterms:created xsi:type="dcterms:W3CDTF">2023-04-18T11:57:00Z</dcterms:created>
  <dcterms:modified xsi:type="dcterms:W3CDTF">2023-06-21T16:07:00Z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2023-04-18T11:56:52Z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ebb08b8d-23ce-46f1-aaf7-86cc4642f289</vt:lpwstr>
  </property>
  <property fmtid="{D5CDD505-2E9C-101B-9397-08002B2CF9AE}" pid="9" name="MSIP_Label_6bd9ddd1-4d20-43f6-abfa-fc3c07406f94_ContentBits">
    <vt:lpwstr>0</vt:lpwstr>
  </property>
</Properties>
</file>