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imes New Roman" w:hAnsi="Times New Roman"/>
          <w:b/>
          <w:sz w:val="24"/>
          <w:szCs w:val="24"/>
        </w:rPr>
      </w:pPr>
      <w:bookmarkStart w:id="0" w:name="_GoBack"/>
      <w:bookmarkEnd w:id="0"/>
      <w:r>
        <w:rPr>
          <w:rFonts w:ascii="Times New Roman" w:hAnsi="Times New Roman"/>
          <w:b/>
          <w:sz w:val="24"/>
        </w:rPr>
        <w:t xml:space="preserve">ANNEXE III – RÈGLES FINANCIÈRES et CONTRACTUELLES </w:t>
      </w:r>
    </w:p>
    <w:p>
      <w:pPr>
        <w:jc w:val="center"/>
        <w:rPr>
          <w:rFonts w:ascii="Times New Roman" w:hAnsi="Times New Roman"/>
          <w:b/>
          <w:sz w:val="24"/>
          <w:szCs w:val="24"/>
        </w:rPr>
      </w:pPr>
      <w:r>
        <w:rPr>
          <w:rFonts w:ascii="Times New Roman" w:hAnsi="Times New Roman"/>
          <w:b/>
          <w:sz w:val="24"/>
        </w:rPr>
        <w:t>Pour les conventions de subvention multi-bénéficiaires de l’action clé nº 2</w:t>
      </w:r>
    </w:p>
    <w:p>
      <w:pPr>
        <w:jc w:val="center"/>
        <w:rPr>
          <w:rFonts w:ascii="Times New Roman" w:hAnsi="Times New Roman"/>
          <w:b/>
          <w:sz w:val="24"/>
          <w:szCs w:val="24"/>
          <w:shd w:val="clear" w:color="auto" w:fill="FFFF00"/>
        </w:rPr>
      </w:pPr>
    </w:p>
    <w:sdt>
      <w:sdtPr>
        <w:rPr>
          <w:rFonts w:ascii="Calibri" w:eastAsia="Calibri" w:hAnsi="Calibri" w:cs="Times New Roman"/>
          <w:sz w:val="22"/>
          <w:szCs w:val="22"/>
          <w:lang w:eastAsia="ar-SA"/>
        </w:rPr>
        <w:id w:val="503332381"/>
        <w:docPartObj>
          <w:docPartGallery w:val="Table of Contents"/>
          <w:docPartUnique/>
        </w:docPartObj>
      </w:sdtPr>
      <w:sdtEndPr>
        <w:rPr>
          <w:rFonts w:ascii="Times New Roman" w:hAnsi="Times New Roman"/>
          <w:b/>
          <w:bCs/>
          <w:noProof/>
          <w:sz w:val="24"/>
          <w:szCs w:val="24"/>
        </w:rPr>
      </w:sdtEndPr>
      <w:sdtContent>
        <w:p>
          <w:pPr>
            <w:pStyle w:val="En-ttedetabledesmatires"/>
            <w:jc w:val="center"/>
            <w:rPr>
              <w:b/>
            </w:rPr>
          </w:pPr>
          <w:r>
            <w:rPr>
              <w:b/>
            </w:rPr>
            <w:t>Table des matières</w:t>
          </w:r>
        </w:p>
        <w:p/>
        <w:p>
          <w:pPr>
            <w:pStyle w:val="TM1"/>
            <w:rPr>
              <w:rFonts w:ascii="Times New Roman" w:eastAsiaTheme="minorEastAsia" w:hAnsi="Times New Roman"/>
              <w:noProof/>
              <w:lang w:eastAsia="fr-FR"/>
            </w:rPr>
          </w:pPr>
          <w:r>
            <w:rPr>
              <w:rFonts w:ascii="Times New Roman" w:hAnsi="Times New Roman"/>
              <w:sz w:val="24"/>
            </w:rPr>
            <w:fldChar w:fldCharType="begin"/>
          </w:r>
          <w:r>
            <w:rPr>
              <w:rFonts w:ascii="Times New Roman" w:hAnsi="Times New Roman"/>
              <w:sz w:val="24"/>
            </w:rPr>
            <w:instrText xml:space="preserve"> TOC \o "1-3" \h \z \u </w:instrText>
          </w:r>
          <w:r>
            <w:rPr>
              <w:rFonts w:ascii="Times New Roman" w:hAnsi="Times New Roman"/>
              <w:sz w:val="24"/>
            </w:rPr>
            <w:fldChar w:fldCharType="separate"/>
          </w:r>
          <w:hyperlink w:anchor="_Toc108782551" w:history="1">
            <w:r>
              <w:rPr>
                <w:rStyle w:val="Lienhypertexte"/>
                <w:rFonts w:ascii="Times New Roman" w:hAnsi="Times New Roman"/>
                <w:noProof/>
              </w:rPr>
              <w:t>I. RÈGLES APPLICABLES AU BUDGET BASÉ SUR DES MONTANTS FORFAITAIRES</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_Toc108782551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2</w:t>
            </w:r>
            <w:r>
              <w:rPr>
                <w:rFonts w:ascii="Times New Roman" w:hAnsi="Times New Roman"/>
                <w:noProof/>
                <w:webHidden/>
              </w:rPr>
              <w:fldChar w:fldCharType="end"/>
            </w:r>
          </w:hyperlink>
        </w:p>
        <w:p>
          <w:pPr>
            <w:pStyle w:val="TM1"/>
            <w:rPr>
              <w:rFonts w:ascii="Times New Roman" w:eastAsiaTheme="minorEastAsia" w:hAnsi="Times New Roman"/>
              <w:noProof/>
              <w:lang w:eastAsia="fr-FR"/>
            </w:rPr>
          </w:pPr>
          <w:hyperlink w:anchor="_Toc108782552" w:history="1">
            <w:r>
              <w:rPr>
                <w:rStyle w:val="Lienhypertexte"/>
                <w:rFonts w:ascii="Times New Roman" w:hAnsi="Times New Roman"/>
                <w:noProof/>
              </w:rPr>
              <w:t>I.1 Conditions d’éligibilité des contributions forfaitaires</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_Toc108782552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2</w:t>
            </w:r>
            <w:r>
              <w:rPr>
                <w:rFonts w:ascii="Times New Roman" w:hAnsi="Times New Roman"/>
                <w:noProof/>
                <w:webHidden/>
              </w:rPr>
              <w:fldChar w:fldCharType="end"/>
            </w:r>
          </w:hyperlink>
        </w:p>
        <w:p>
          <w:pPr>
            <w:pStyle w:val="TM1"/>
            <w:rPr>
              <w:rFonts w:ascii="Times New Roman" w:eastAsiaTheme="minorEastAsia" w:hAnsi="Times New Roman"/>
              <w:noProof/>
              <w:lang w:eastAsia="fr-FR"/>
            </w:rPr>
          </w:pPr>
          <w:hyperlink w:anchor="_Toc108782553" w:history="1">
            <w:r>
              <w:rPr>
                <w:rStyle w:val="Lienhypertexte"/>
                <w:rFonts w:ascii="Times New Roman" w:hAnsi="Times New Roman"/>
                <w:noProof/>
              </w:rPr>
              <w:t>I.2 Pièces justificatives pour les contributions forfaitaires</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_Toc108782553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2</w:t>
            </w:r>
            <w:r>
              <w:rPr>
                <w:rFonts w:ascii="Times New Roman" w:hAnsi="Times New Roman"/>
                <w:noProof/>
                <w:webHidden/>
              </w:rPr>
              <w:fldChar w:fldCharType="end"/>
            </w:r>
          </w:hyperlink>
        </w:p>
        <w:p>
          <w:pPr>
            <w:pStyle w:val="TM1"/>
            <w:rPr>
              <w:rFonts w:ascii="Times New Roman" w:eastAsiaTheme="minorEastAsia" w:hAnsi="Times New Roman"/>
              <w:noProof/>
              <w:lang w:eastAsia="fr-FR"/>
            </w:rPr>
          </w:pPr>
          <w:hyperlink w:anchor="_Toc108782554" w:history="1">
            <w:r>
              <w:rPr>
                <w:rStyle w:val="Lienhypertexte"/>
                <w:rFonts w:ascii="Times New Roman" w:hAnsi="Times New Roman"/>
                <w:noProof/>
              </w:rPr>
              <w:t>II. CONDITIONS D’ÉLIGIBILITÉ DES ACTIVITÉS DU PROJET</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_Toc108782554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2</w:t>
            </w:r>
            <w:r>
              <w:rPr>
                <w:rFonts w:ascii="Times New Roman" w:hAnsi="Times New Roman"/>
                <w:noProof/>
                <w:webHidden/>
              </w:rPr>
              <w:fldChar w:fldCharType="end"/>
            </w:r>
          </w:hyperlink>
        </w:p>
        <w:p>
          <w:pPr>
            <w:pStyle w:val="TM1"/>
            <w:rPr>
              <w:rFonts w:ascii="Times New Roman" w:eastAsiaTheme="minorEastAsia" w:hAnsi="Times New Roman"/>
              <w:noProof/>
              <w:lang w:eastAsia="fr-FR"/>
            </w:rPr>
          </w:pPr>
          <w:hyperlink w:anchor="_Toc108782555" w:history="1">
            <w:r>
              <w:rPr>
                <w:rStyle w:val="Lienhypertexte"/>
                <w:rFonts w:ascii="Times New Roman" w:hAnsi="Times New Roman"/>
                <w:noProof/>
              </w:rPr>
              <w:t>III. AMENDEMENT</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_Toc108782555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3</w:t>
            </w:r>
            <w:r>
              <w:rPr>
                <w:rFonts w:ascii="Times New Roman" w:hAnsi="Times New Roman"/>
                <w:noProof/>
                <w:webHidden/>
              </w:rPr>
              <w:fldChar w:fldCharType="end"/>
            </w:r>
          </w:hyperlink>
        </w:p>
        <w:p>
          <w:pPr>
            <w:pStyle w:val="TM1"/>
            <w:rPr>
              <w:rFonts w:ascii="Times New Roman" w:eastAsiaTheme="minorEastAsia" w:hAnsi="Times New Roman"/>
              <w:noProof/>
              <w:lang w:eastAsia="fr-FR"/>
            </w:rPr>
          </w:pPr>
          <w:hyperlink w:anchor="_Toc108782556" w:history="1">
            <w:r>
              <w:rPr>
                <w:rStyle w:val="Lienhypertexte"/>
                <w:rFonts w:ascii="Times New Roman" w:hAnsi="Times New Roman"/>
                <w:noProof/>
              </w:rPr>
              <w:t>IV. RAPPORT FINAL</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_Toc108782556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3</w:t>
            </w:r>
            <w:r>
              <w:rPr>
                <w:rFonts w:ascii="Times New Roman" w:hAnsi="Times New Roman"/>
                <w:noProof/>
                <w:webHidden/>
              </w:rPr>
              <w:fldChar w:fldCharType="end"/>
            </w:r>
          </w:hyperlink>
        </w:p>
        <w:p>
          <w:pPr>
            <w:pStyle w:val="TM1"/>
            <w:rPr>
              <w:rFonts w:ascii="Times New Roman" w:eastAsiaTheme="minorEastAsia" w:hAnsi="Times New Roman"/>
              <w:noProof/>
              <w:lang w:eastAsia="fr-FR"/>
            </w:rPr>
          </w:pPr>
          <w:hyperlink w:anchor="_Toc108782557" w:history="1">
            <w:r>
              <w:rPr>
                <w:rStyle w:val="Lienhypertexte"/>
                <w:rFonts w:ascii="Times New Roman" w:hAnsi="Times New Roman"/>
                <w:noProof/>
              </w:rPr>
              <w:t>V. RÉDUCTION DE LA SUBVENTION EN CAS D’EXÉCUTION INSATISFAISANTE, PARTIELLE OU TARDIVE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_Toc108782557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4</w:t>
            </w:r>
            <w:r>
              <w:rPr>
                <w:rFonts w:ascii="Times New Roman" w:hAnsi="Times New Roman"/>
                <w:noProof/>
                <w:webHidden/>
              </w:rPr>
              <w:fldChar w:fldCharType="end"/>
            </w:r>
          </w:hyperlink>
        </w:p>
        <w:p>
          <w:pPr>
            <w:pStyle w:val="TM1"/>
            <w:rPr>
              <w:rFonts w:asciiTheme="minorHAnsi" w:eastAsiaTheme="minorEastAsia" w:hAnsiTheme="minorHAnsi" w:cstheme="minorBidi"/>
              <w:noProof/>
              <w:lang w:eastAsia="fr-FR"/>
            </w:rPr>
          </w:pPr>
          <w:hyperlink w:anchor="_Toc108782558" w:history="1">
            <w:r>
              <w:rPr>
                <w:rStyle w:val="Lienhypertexte"/>
                <w:rFonts w:ascii="Times New Roman" w:hAnsi="Times New Roman"/>
                <w:noProof/>
              </w:rPr>
              <w:t>VI. CONTRÔLES DES BÉNÉFICIAIRES DE LA SUBVENTION ET COMMUNICATION DES PIÈCES JUSTIFICATIVES</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_Toc108782558 \h </w:instrText>
            </w:r>
            <w:r>
              <w:rPr>
                <w:rFonts w:ascii="Times New Roman" w:hAnsi="Times New Roman"/>
                <w:noProof/>
                <w:webHidden/>
              </w:rPr>
            </w:r>
            <w:r>
              <w:rPr>
                <w:rFonts w:ascii="Times New Roman" w:hAnsi="Times New Roman"/>
                <w:noProof/>
                <w:webHidden/>
              </w:rPr>
              <w:fldChar w:fldCharType="separate"/>
            </w:r>
            <w:r>
              <w:rPr>
                <w:rFonts w:ascii="Times New Roman" w:hAnsi="Times New Roman"/>
                <w:noProof/>
                <w:webHidden/>
              </w:rPr>
              <w:t>5</w:t>
            </w:r>
            <w:r>
              <w:rPr>
                <w:rFonts w:ascii="Times New Roman" w:hAnsi="Times New Roman"/>
                <w:noProof/>
                <w:webHidden/>
              </w:rPr>
              <w:fldChar w:fldCharType="end"/>
            </w:r>
          </w:hyperlink>
        </w:p>
        <w:p>
          <w:r>
            <w:rPr>
              <w:rFonts w:ascii="Times New Roman" w:hAnsi="Times New Roman"/>
              <w:b/>
              <w:sz w:val="24"/>
            </w:rPr>
            <w:fldChar w:fldCharType="end"/>
          </w:r>
        </w:p>
      </w:sdtContent>
    </w:sdt>
    <w:p/>
    <w:p>
      <w:r>
        <w:rPr>
          <w:b/>
        </w:rPr>
        <w:fldChar w:fldCharType="begin"/>
      </w:r>
      <w:r>
        <w:rPr>
          <w:b/>
        </w:rPr>
        <w:instrText xml:space="preserve"> TOC \o "1-4" \h \z \u </w:instrText>
      </w:r>
      <w:r>
        <w:rPr>
          <w:b/>
        </w:rPr>
        <w:fldChar w:fldCharType="end"/>
      </w:r>
    </w:p>
    <w:p>
      <w:pPr>
        <w:suppressAutoHyphens w:val="0"/>
        <w:spacing w:after="0" w:line="240" w:lineRule="auto"/>
        <w:rPr>
          <w:rFonts w:ascii="Times New Roman" w:hAnsi="Times New Roman" w:cs="font218"/>
          <w:b/>
          <w:bCs/>
          <w:sz w:val="24"/>
          <w:szCs w:val="28"/>
        </w:rPr>
      </w:pPr>
      <w:bookmarkStart w:id="1" w:name="_Toc71910315"/>
      <w:bookmarkStart w:id="2" w:name="_Toc71910705"/>
      <w:r>
        <w:br w:type="page"/>
      </w:r>
    </w:p>
    <w:p>
      <w:pPr>
        <w:pStyle w:val="Titre1"/>
        <w:numPr>
          <w:ilvl w:val="0"/>
          <w:numId w:val="0"/>
        </w:numPr>
        <w:ind w:left="709" w:hanging="709"/>
      </w:pPr>
      <w:bookmarkStart w:id="3" w:name="_Toc108782551"/>
      <w:bookmarkStart w:id="4" w:name="_Toc71910319"/>
      <w:bookmarkStart w:id="5" w:name="_Toc71910711"/>
      <w:bookmarkEnd w:id="1"/>
      <w:bookmarkEnd w:id="2"/>
      <w:r>
        <w:lastRenderedPageBreak/>
        <w:t>I. RÈGLES APPLICABLES AU BUDGET BASÉ SUR DES MONTANTS FORFAITAIRES</w:t>
      </w:r>
      <w:bookmarkEnd w:id="3"/>
      <w:r>
        <w:t xml:space="preserve"> </w:t>
      </w:r>
      <w:bookmarkEnd w:id="4"/>
      <w:bookmarkEnd w:id="5"/>
    </w:p>
    <w:p>
      <w:pPr>
        <w:pStyle w:val="Corpsdetexte"/>
      </w:pPr>
    </w:p>
    <w:p>
      <w:pPr>
        <w:pStyle w:val="Heading21"/>
        <w:rPr>
          <w:szCs w:val="24"/>
        </w:rPr>
      </w:pPr>
      <w:bookmarkStart w:id="6" w:name="_Toc108782552"/>
      <w:r>
        <w:t>I.1 Conditions d’éligibilité des contributions forfaitaires</w:t>
      </w:r>
      <w:bookmarkEnd w:id="6"/>
    </w:p>
    <w:p>
      <w:pPr>
        <w:spacing w:after="0"/>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rPr>
        <w:t>Les contributions forfaitaires sont éligibles («contributions éligibles») si:</w:t>
      </w:r>
    </w:p>
    <w:p>
      <w:pPr>
        <w:numPr>
          <w:ilvl w:val="0"/>
          <w:numId w:val="240"/>
        </w:numPr>
        <w:jc w:val="both"/>
        <w:rPr>
          <w:rFonts w:ascii="Times New Roman" w:hAnsi="Times New Roman"/>
          <w:sz w:val="24"/>
          <w:szCs w:val="24"/>
        </w:rPr>
      </w:pPr>
      <w:r>
        <w:rPr>
          <w:rFonts w:ascii="Times New Roman" w:hAnsi="Times New Roman"/>
          <w:sz w:val="24"/>
        </w:rPr>
        <w:t>elles sont indiquées à l’annexe II et</w:t>
      </w:r>
    </w:p>
    <w:p>
      <w:pPr>
        <w:numPr>
          <w:ilvl w:val="0"/>
          <w:numId w:val="240"/>
        </w:numPr>
        <w:jc w:val="both"/>
        <w:rPr>
          <w:rFonts w:ascii="Times New Roman" w:hAnsi="Times New Roman"/>
          <w:sz w:val="24"/>
          <w:szCs w:val="24"/>
        </w:rPr>
      </w:pPr>
      <w:r>
        <w:rPr>
          <w:rFonts w:ascii="Times New Roman" w:hAnsi="Times New Roman"/>
          <w:sz w:val="24"/>
        </w:rPr>
        <w:t>les modules de travail/activités sont achevés et le travail a été correctement exécuté par les bénéficiaires et/ou les résultats ont été atteints, conformément à l’annexe II et pendant la période mentionnée à l’article I.2 (à l’exception des travaux/résultats liés à la présentation du rapport périodique final, qui peuvent être atteints par la suite).</w:t>
      </w:r>
    </w:p>
    <w:p>
      <w:pPr>
        <w:jc w:val="both"/>
        <w:rPr>
          <w:rFonts w:ascii="Times New Roman" w:hAnsi="Times New Roman"/>
          <w:sz w:val="24"/>
          <w:szCs w:val="24"/>
        </w:rPr>
      </w:pPr>
      <w:r>
        <w:rPr>
          <w:rFonts w:ascii="Times New Roman" w:hAnsi="Times New Roman"/>
          <w:sz w:val="24"/>
        </w:rPr>
        <w:t xml:space="preserve">Les contributions forfaitaires couvrent tous les frais directement liés à la mise en œuvre des activités du projet. </w:t>
      </w:r>
    </w:p>
    <w:p>
      <w:pPr>
        <w:pStyle w:val="Heading21"/>
        <w:spacing w:after="120"/>
        <w:rPr>
          <w:shd w:val="clear" w:color="auto" w:fill="C0C0C0"/>
        </w:rPr>
      </w:pPr>
      <w:bookmarkStart w:id="7" w:name="_Toc108782553"/>
      <w:r>
        <w:t>I.2 Pièces justificatives pour les contributions forfaitaires</w:t>
      </w:r>
      <w:bookmarkEnd w:id="7"/>
    </w:p>
    <w:p>
      <w:pPr>
        <w:jc w:val="both"/>
        <w:rPr>
          <w:rFonts w:ascii="Times New Roman" w:hAnsi="Times New Roman"/>
          <w:sz w:val="24"/>
          <w:szCs w:val="24"/>
        </w:rPr>
      </w:pPr>
      <w:r>
        <w:rPr>
          <w:rFonts w:ascii="Times New Roman" w:hAnsi="Times New Roman"/>
          <w:sz w:val="24"/>
        </w:rPr>
        <w:t>Les pièces justificatives requises lors de l’établissement du rapport final sont indiquées à la section V, point a), de la présente annexe. Un justificatif des dépenses encourues (des factures, par exemple) n’est pas requis lors de l’établissement du rapport final. Toutefois, conformément à la section V de la présente annexe et à l’article II.27 des conditions générales, à la demande de l’Agence, de la Commission européenne ou d’un organisme d’audit, les bénéficiaires sont en mesure de fournir la preuve que les activités pour lesquelles la subvention a été demandée se sont effectivement déroulées.</w:t>
      </w:r>
    </w:p>
    <w:p>
      <w:pPr>
        <w:pStyle w:val="Titre1"/>
        <w:numPr>
          <w:ilvl w:val="0"/>
          <w:numId w:val="0"/>
        </w:numPr>
        <w:ind w:left="709" w:hanging="709"/>
      </w:pPr>
      <w:bookmarkStart w:id="8" w:name="_Toc71910320"/>
      <w:bookmarkStart w:id="9" w:name="_Toc71910712"/>
      <w:bookmarkStart w:id="10" w:name="_Toc108782554"/>
      <w:r>
        <w:t>II. CONDITIONS D’ÉLIGIBILITÉ DES ACTIVITÉS DU PROJET</w:t>
      </w:r>
      <w:bookmarkEnd w:id="8"/>
      <w:bookmarkEnd w:id="9"/>
      <w:bookmarkEnd w:id="10"/>
    </w:p>
    <w:p>
      <w:pPr>
        <w:pStyle w:val="Corpsdetexte"/>
      </w:pPr>
    </w:p>
    <w:p>
      <w:pPr>
        <w:numPr>
          <w:ilvl w:val="0"/>
          <w:numId w:val="65"/>
        </w:numPr>
        <w:ind w:left="567" w:hanging="501"/>
        <w:jc w:val="both"/>
        <w:rPr>
          <w:rFonts w:ascii="Times New Roman" w:hAnsi="Times New Roman"/>
          <w:sz w:val="24"/>
          <w:szCs w:val="24"/>
        </w:rPr>
      </w:pPr>
      <w:r>
        <w:rPr>
          <w:rFonts w:ascii="Times New Roman" w:hAnsi="Times New Roman"/>
          <w:sz w:val="24"/>
        </w:rPr>
        <w:t xml:space="preserve">Les bénéficiaires veillent à ce que les activités du projet pour lesquelles une subvention a été accordée soient éligibles conformément aux règles définies dans le guide du programme Erasmus+. </w:t>
      </w:r>
    </w:p>
    <w:p>
      <w:pPr>
        <w:numPr>
          <w:ilvl w:val="0"/>
          <w:numId w:val="65"/>
        </w:numPr>
        <w:ind w:left="567" w:hanging="501"/>
        <w:jc w:val="both"/>
        <w:rPr>
          <w:rFonts w:ascii="Times New Roman" w:hAnsi="Times New Roman"/>
          <w:sz w:val="24"/>
          <w:szCs w:val="24"/>
        </w:rPr>
      </w:pPr>
      <w:r>
        <w:rPr>
          <w:rFonts w:ascii="Times New Roman" w:hAnsi="Times New Roman"/>
          <w:sz w:val="24"/>
        </w:rPr>
        <w:t>[</w:t>
      </w:r>
      <w:r>
        <w:rPr>
          <w:rFonts w:ascii="Times New Roman" w:hAnsi="Times New Roman"/>
          <w:sz w:val="24"/>
          <w:highlight w:val="cyan"/>
        </w:rPr>
        <w:t>pour les partenariats simplifiés</w:t>
      </w:r>
      <w:r>
        <w:rPr>
          <w:rFonts w:ascii="Times New Roman" w:hAnsi="Times New Roman"/>
          <w:sz w:val="24"/>
        </w:rPr>
        <w:t xml:space="preserve"> Les activités entreprises qui ne sont pas conformes aux règles définies dans le guide du programme Erasmus+ et complétées par les règles établies dans la présente annexe sont déclarées inéligibles par l’Agence et les montants des subventions correspondant aux activités en question seront intégralement remboursés.</w:t>
      </w:r>
    </w:p>
    <w:p>
      <w:pPr>
        <w:ind w:left="567"/>
        <w:jc w:val="both"/>
        <w:rPr>
          <w:rFonts w:ascii="Times New Roman" w:hAnsi="Times New Roman"/>
          <w:sz w:val="24"/>
          <w:szCs w:val="24"/>
        </w:rPr>
      </w:pPr>
      <w:r>
        <w:rPr>
          <w:rFonts w:ascii="Times New Roman" w:hAnsi="Times New Roman"/>
          <w:sz w:val="24"/>
        </w:rPr>
        <w:lastRenderedPageBreak/>
        <w:t>[</w:t>
      </w:r>
      <w:r>
        <w:rPr>
          <w:rFonts w:ascii="Times New Roman" w:hAnsi="Times New Roman"/>
          <w:sz w:val="24"/>
          <w:highlight w:val="cyan"/>
        </w:rPr>
        <w:t>pour les partenariats de coopération</w:t>
      </w:r>
      <w:r>
        <w:rPr>
          <w:rFonts w:ascii="Times New Roman" w:hAnsi="Times New Roman"/>
          <w:sz w:val="24"/>
        </w:rPr>
        <w:t xml:space="preserve"> Les activités entreprises qui ne sont pas conformes aux règles définies dans le guide du programme Erasmus+ et complétées par les règles établies dans la présente annexe sont déclarées inéligibles par l’Agence. La note attribuée au module de travail correspondant définira le montant considéré comme inéligible. </w:t>
      </w:r>
    </w:p>
    <w:p>
      <w:pPr>
        <w:ind w:left="567"/>
        <w:jc w:val="both"/>
        <w:rPr>
          <w:rFonts w:ascii="Times New Roman" w:hAnsi="Times New Roman"/>
          <w:sz w:val="24"/>
          <w:szCs w:val="24"/>
        </w:rPr>
      </w:pPr>
      <w:r>
        <w:rPr>
          <w:rFonts w:ascii="Times New Roman" w:hAnsi="Times New Roman"/>
          <w:sz w:val="24"/>
        </w:rPr>
        <w:t xml:space="preserve">Les modules de travail qui ne sont pas conformes aux règles définies dans le guide du programme Erasmus+ et complétées par les règles établies dans la présente annexe sont déclarés inéligibles par l’Agence et les montants des subventions correspondant aux activités en question seront intégralement remboursés. </w:t>
      </w:r>
      <w:bookmarkStart w:id="11" w:name="_Toc71910321"/>
      <w:bookmarkStart w:id="12" w:name="_Toc71910713"/>
      <w:r>
        <w:t xml:space="preserve">III. </w:t>
      </w:r>
    </w:p>
    <w:p>
      <w:pPr>
        <w:pStyle w:val="Titre1"/>
        <w:numPr>
          <w:ilvl w:val="0"/>
          <w:numId w:val="0"/>
        </w:numPr>
        <w:ind w:left="709" w:hanging="709"/>
      </w:pPr>
      <w:bookmarkStart w:id="13" w:name="_Toc108782555"/>
      <w:r>
        <w:t>III. AMENDEMENT</w:t>
      </w:r>
      <w:bookmarkEnd w:id="13"/>
    </w:p>
    <w:p>
      <w:pPr>
        <w:pStyle w:val="Corpsdetexte"/>
      </w:pPr>
    </w:p>
    <w:p>
      <w:pPr>
        <w:pStyle w:val="Corpsdetexte"/>
        <w:jc w:val="both"/>
        <w:rPr>
          <w:rFonts w:ascii="Times New Roman" w:hAnsi="Times New Roman"/>
        </w:rPr>
      </w:pPr>
      <w:r>
        <w:rPr>
          <w:rFonts w:ascii="Times New Roman" w:hAnsi="Times New Roman"/>
          <w:sz w:val="24"/>
        </w:rPr>
        <w:t xml:space="preserve">Si, au cours de la mise en œuvre du projet, un bénéficiaire doit modifier le budget alloué à un module de travail/ une activité, il ne peut le faire qu’en demandant un amendement. Les transferts budgétaires entre modules de travail ne sont acceptables que si les modules de travail ne sont pas déjà achevés (et déclarés comme tels dans un 'état financier) et sont justifiés par la mise en œuvre technique de l’action. Ainsi, l’autorité chargée de l’octroi évaluera au cas par cas toute demande d’amendement de ce type. </w:t>
      </w:r>
    </w:p>
    <w:p>
      <w:pPr>
        <w:pStyle w:val="Titre1"/>
        <w:numPr>
          <w:ilvl w:val="0"/>
          <w:numId w:val="0"/>
        </w:numPr>
        <w:ind w:left="709" w:hanging="709"/>
      </w:pPr>
      <w:bookmarkStart w:id="14" w:name="_Toc108782556"/>
      <w:r>
        <w:t>IV. RAPPORT FINAL</w:t>
      </w:r>
      <w:bookmarkEnd w:id="11"/>
      <w:bookmarkEnd w:id="12"/>
      <w:bookmarkEnd w:id="14"/>
    </w:p>
    <w:p>
      <w:pPr>
        <w:pStyle w:val="Corpsdetexte"/>
      </w:pPr>
    </w:p>
    <w:p>
      <w:pPr>
        <w:jc w:val="both"/>
        <w:rPr>
          <w:rFonts w:ascii="Times New Roman" w:hAnsi="Times New Roman"/>
          <w:sz w:val="24"/>
          <w:szCs w:val="24"/>
        </w:rPr>
      </w:pPr>
      <w:r>
        <w:rPr>
          <w:rFonts w:ascii="Times New Roman" w:hAnsi="Times New Roman"/>
          <w:sz w:val="24"/>
        </w:rPr>
        <w:t>Le rapport final est évalué sur la base de critères de qualité et noté sur un total de 100 points maximum. Si le rapport final obtient une note totale inférieure à [</w:t>
      </w:r>
      <w:r>
        <w:rPr>
          <w:rFonts w:ascii="Times New Roman" w:hAnsi="Times New Roman"/>
          <w:sz w:val="24"/>
          <w:highlight w:val="cyan"/>
        </w:rPr>
        <w:t>pour les partenariats simplifiés</w:t>
      </w:r>
      <w:r>
        <w:rPr>
          <w:rFonts w:ascii="Times New Roman" w:hAnsi="Times New Roman"/>
          <w:sz w:val="24"/>
        </w:rPr>
        <w:t>] 60 points [</w:t>
      </w:r>
      <w:r>
        <w:rPr>
          <w:rFonts w:ascii="Times New Roman" w:hAnsi="Times New Roman"/>
          <w:sz w:val="24"/>
          <w:highlight w:val="cyan"/>
        </w:rPr>
        <w:t>pour les partenariats de coopération</w:t>
      </w:r>
      <w:r>
        <w:rPr>
          <w:rFonts w:ascii="Times New Roman" w:hAnsi="Times New Roman"/>
          <w:sz w:val="24"/>
        </w:rPr>
        <w:t>] 70 points, l’Agence peut réduire le montant final de la subvention au motif d’une exécution insuffisante, partielle ou tardive du projet, même si toutes les activités décrites dans le rapport étaient éligibles et se sont effectivement déroulées. Le rapport final et les résultats du projet sont évalués par l’Agence sur la base d’un ensemble commun de critères de qualité portant sur:</w:t>
      </w:r>
    </w:p>
    <w:p>
      <w:pPr>
        <w:numPr>
          <w:ilvl w:val="1"/>
          <w:numId w:val="192"/>
        </w:numPr>
        <w:jc w:val="both"/>
        <w:rPr>
          <w:rFonts w:ascii="Times New Roman" w:hAnsi="Times New Roman"/>
          <w:sz w:val="24"/>
          <w:szCs w:val="24"/>
        </w:rPr>
      </w:pPr>
      <w:r>
        <w:rPr>
          <w:rFonts w:ascii="Times New Roman" w:hAnsi="Times New Roman"/>
          <w:sz w:val="24"/>
        </w:rPr>
        <w:t>la conformité de la mise en œuvre du projet avec la demande de subvention qui a été approuvée;</w:t>
      </w:r>
    </w:p>
    <w:p>
      <w:pPr>
        <w:numPr>
          <w:ilvl w:val="1"/>
          <w:numId w:val="192"/>
        </w:numPr>
        <w:jc w:val="both"/>
        <w:rPr>
          <w:rFonts w:ascii="Times New Roman" w:hAnsi="Times New Roman"/>
          <w:sz w:val="24"/>
          <w:szCs w:val="24"/>
        </w:rPr>
      </w:pPr>
      <w:r>
        <w:rPr>
          <w:rFonts w:ascii="Times New Roman" w:hAnsi="Times New Roman"/>
          <w:sz w:val="24"/>
        </w:rPr>
        <w:t>la qualité des activités entreprises et leur cohérence avec les objectifs du projet;</w:t>
      </w:r>
    </w:p>
    <w:p>
      <w:pPr>
        <w:numPr>
          <w:ilvl w:val="1"/>
          <w:numId w:val="192"/>
        </w:numPr>
        <w:jc w:val="both"/>
        <w:rPr>
          <w:rFonts w:ascii="Times New Roman" w:hAnsi="Times New Roman"/>
          <w:sz w:val="24"/>
          <w:szCs w:val="24"/>
        </w:rPr>
      </w:pPr>
      <w:r>
        <w:rPr>
          <w:rFonts w:ascii="Times New Roman" w:hAnsi="Times New Roman"/>
          <w:sz w:val="24"/>
        </w:rPr>
        <w:t xml:space="preserve">la qualité des produits et des résultats obtenus; </w:t>
      </w:r>
    </w:p>
    <w:p>
      <w:pPr>
        <w:numPr>
          <w:ilvl w:val="1"/>
          <w:numId w:val="192"/>
        </w:numPr>
        <w:jc w:val="both"/>
        <w:rPr>
          <w:rFonts w:ascii="Times New Roman" w:hAnsi="Times New Roman"/>
          <w:sz w:val="24"/>
          <w:szCs w:val="24"/>
        </w:rPr>
      </w:pPr>
      <w:r>
        <w:rPr>
          <w:rFonts w:ascii="Times New Roman" w:hAnsi="Times New Roman"/>
          <w:sz w:val="24"/>
        </w:rPr>
        <w:lastRenderedPageBreak/>
        <w:t>les acquis de l’apprentissage et l’impact sur les participants;</w:t>
      </w:r>
    </w:p>
    <w:p>
      <w:pPr>
        <w:numPr>
          <w:ilvl w:val="1"/>
          <w:numId w:val="192"/>
        </w:numPr>
        <w:jc w:val="both"/>
        <w:rPr>
          <w:rFonts w:ascii="Times New Roman" w:hAnsi="Times New Roman"/>
          <w:sz w:val="24"/>
          <w:szCs w:val="24"/>
        </w:rPr>
      </w:pPr>
      <w:r>
        <w:rPr>
          <w:rFonts w:ascii="Times New Roman" w:hAnsi="Times New Roman"/>
          <w:sz w:val="24"/>
        </w:rPr>
        <w:t xml:space="preserve">la mesure dans laquelle le projet s’est avéré innovant/complémentaire par rapport à d’autres initiatives; </w:t>
      </w:r>
    </w:p>
    <w:p>
      <w:pPr>
        <w:numPr>
          <w:ilvl w:val="1"/>
          <w:numId w:val="192"/>
        </w:numPr>
        <w:jc w:val="both"/>
        <w:rPr>
          <w:rFonts w:ascii="Times New Roman" w:hAnsi="Times New Roman"/>
          <w:sz w:val="24"/>
          <w:szCs w:val="24"/>
        </w:rPr>
      </w:pPr>
      <w:r>
        <w:rPr>
          <w:rFonts w:ascii="Times New Roman" w:hAnsi="Times New Roman"/>
          <w:sz w:val="24"/>
        </w:rPr>
        <w:t xml:space="preserve">la mesure dans laquelle le projet a apporté une valeur ajoutée au niveau de l’Union européenne; </w:t>
      </w:r>
    </w:p>
    <w:p>
      <w:pPr>
        <w:numPr>
          <w:ilvl w:val="1"/>
          <w:numId w:val="192"/>
        </w:numPr>
        <w:jc w:val="both"/>
        <w:rPr>
          <w:rFonts w:ascii="Times New Roman" w:hAnsi="Times New Roman"/>
          <w:sz w:val="24"/>
          <w:szCs w:val="24"/>
        </w:rPr>
      </w:pPr>
      <w:r>
        <w:rPr>
          <w:rFonts w:ascii="Times New Roman" w:hAnsi="Times New Roman"/>
          <w:sz w:val="24"/>
        </w:rPr>
        <w:t>la performance du projet en termes de mise en œuvre de mesures efficaces de la qualité et de mesures pour l’évaluation des résultats du projet;</w:t>
      </w:r>
    </w:p>
    <w:p>
      <w:pPr>
        <w:numPr>
          <w:ilvl w:val="1"/>
          <w:numId w:val="192"/>
        </w:numPr>
        <w:jc w:val="both"/>
        <w:rPr>
          <w:rFonts w:ascii="Times New Roman" w:hAnsi="Times New Roman"/>
          <w:sz w:val="24"/>
          <w:szCs w:val="24"/>
        </w:rPr>
      </w:pPr>
      <w:r>
        <w:rPr>
          <w:rFonts w:ascii="Times New Roman" w:hAnsi="Times New Roman"/>
          <w:sz w:val="24"/>
        </w:rPr>
        <w:t>l’impact sur les organisations participantes;</w:t>
      </w:r>
    </w:p>
    <w:p>
      <w:pPr>
        <w:ind w:left="1440"/>
        <w:jc w:val="both"/>
        <w:rPr>
          <w:rFonts w:ascii="Times New Roman" w:hAnsi="Times New Roman"/>
          <w:sz w:val="24"/>
          <w:szCs w:val="24"/>
        </w:rPr>
      </w:pPr>
      <w:r>
        <w:rPr>
          <w:rFonts w:ascii="Times New Roman" w:hAnsi="Times New Roman"/>
          <w:sz w:val="24"/>
        </w:rPr>
        <w:t>[</w:t>
      </w:r>
      <w:r>
        <w:rPr>
          <w:rFonts w:ascii="Times New Roman" w:hAnsi="Times New Roman"/>
          <w:sz w:val="24"/>
          <w:highlight w:val="cyan"/>
        </w:rPr>
        <w:t>pour les partenariats de coopération</w:t>
      </w:r>
      <w:r>
        <w:rPr>
          <w:rFonts w:ascii="Times New Roman" w:hAnsi="Times New Roman"/>
          <w:sz w:val="24"/>
        </w:rPr>
        <w:t>: pour les activités d’apprentissage, d’enseignement et de formation: la qualité des modalités pratiques en soutien de la mobilité en termes de préparation, de suivi et de soutien des participants au cours de leur activité de mobilité, la qualité des mécanismes de reconnaissance et de validation des acquis d’apprentissage des participants;]</w:t>
      </w:r>
    </w:p>
    <w:p>
      <w:pPr>
        <w:numPr>
          <w:ilvl w:val="1"/>
          <w:numId w:val="192"/>
        </w:numPr>
        <w:jc w:val="both"/>
        <w:rPr>
          <w:rFonts w:ascii="Times New Roman" w:hAnsi="Times New Roman"/>
          <w:sz w:val="24"/>
          <w:szCs w:val="24"/>
        </w:rPr>
      </w:pPr>
      <w:r>
        <w:rPr>
          <w:rFonts w:ascii="Times New Roman" w:hAnsi="Times New Roman"/>
          <w:sz w:val="24"/>
        </w:rPr>
        <w:t>la qualité et la portée des activités de diffusion entreprises;</w:t>
      </w:r>
    </w:p>
    <w:p>
      <w:pPr>
        <w:numPr>
          <w:ilvl w:val="1"/>
          <w:numId w:val="192"/>
        </w:numPr>
        <w:jc w:val="both"/>
        <w:rPr>
          <w:rFonts w:ascii="Times New Roman" w:hAnsi="Times New Roman"/>
          <w:sz w:val="24"/>
          <w:szCs w:val="24"/>
        </w:rPr>
      </w:pPr>
      <w:r>
        <w:rPr>
          <w:rFonts w:ascii="Times New Roman" w:hAnsi="Times New Roman"/>
          <w:sz w:val="24"/>
        </w:rPr>
        <w:t>l’éventuelle incidence plus générale du projet sur d’autres personnes et organisations que les bénéficiaires.</w:t>
      </w:r>
    </w:p>
    <w:p>
      <w:pPr>
        <w:pStyle w:val="Titre1"/>
        <w:numPr>
          <w:ilvl w:val="0"/>
          <w:numId w:val="0"/>
        </w:numPr>
        <w:ind w:left="66"/>
      </w:pPr>
      <w:bookmarkStart w:id="15" w:name="_Toc71910322"/>
      <w:bookmarkStart w:id="16" w:name="_Toc71910714"/>
      <w:bookmarkStart w:id="17" w:name="_Toc108782557"/>
      <w:r>
        <w:t>V. RÉDUCTION DE LA SUBVENTION EN CAS D’EXÉCUTION INSATISFAISANTE, PARTIELLE OU TARDIVE</w:t>
      </w:r>
      <w:bookmarkEnd w:id="15"/>
      <w:bookmarkEnd w:id="16"/>
      <w:bookmarkEnd w:id="17"/>
      <w:r>
        <w:t xml:space="preserve"> </w:t>
      </w:r>
    </w:p>
    <w:p>
      <w:pPr>
        <w:pStyle w:val="Corpsdetexte"/>
      </w:pPr>
    </w:p>
    <w:p>
      <w:pPr>
        <w:jc w:val="both"/>
        <w:rPr>
          <w:rFonts w:ascii="Times New Roman" w:hAnsi="Times New Roman"/>
          <w:sz w:val="24"/>
          <w:szCs w:val="24"/>
        </w:rPr>
      </w:pPr>
      <w:r>
        <w:rPr>
          <w:rFonts w:ascii="Times New Roman" w:hAnsi="Times New Roman"/>
          <w:sz w:val="24"/>
        </w:rPr>
        <w:t xml:space="preserve">L’Agence peut décider de l’exécution insatisfaisante, partielle ou tardive du projet sur la base du rapport final soumis par le coordinateur (y compris les rapports soumis par les différents participants aux activités de mobilité) et des résultats du projet. </w:t>
      </w:r>
    </w:p>
    <w:p>
      <w:pPr>
        <w:tabs>
          <w:tab w:val="left" w:pos="709"/>
        </w:tabs>
        <w:jc w:val="both"/>
        <w:rPr>
          <w:rFonts w:ascii="Times New Roman" w:hAnsi="Times New Roman"/>
          <w:sz w:val="24"/>
          <w:szCs w:val="24"/>
          <w:shd w:val="clear" w:color="auto" w:fill="00FFFF"/>
        </w:rPr>
      </w:pPr>
      <w:r>
        <w:rPr>
          <w:rFonts w:ascii="Times New Roman" w:hAnsi="Times New Roman"/>
          <w:sz w:val="24"/>
        </w:rPr>
        <w:t>En outre, l’Agence peut également tenir compte d’informations émanant de toute autre source pertinente qui prouvent que l’exécution du projet n’est pas conforme aux dispositions contractuelles. Les autres sources d’information peuvent inclure des visites de contrôle, des rapports intermédiaires, des contrôles sur pièces ou des contrôles sur place réalisés par l’Agence.</w:t>
      </w:r>
    </w:p>
    <w:p>
      <w:pPr>
        <w:jc w:val="both"/>
        <w:rPr>
          <w:rFonts w:ascii="Times New Roman" w:hAnsi="Times New Roman"/>
          <w:sz w:val="24"/>
          <w:szCs w:val="24"/>
        </w:rPr>
      </w:pPr>
      <w:r>
        <w:rPr>
          <w:rFonts w:ascii="Times New Roman" w:hAnsi="Times New Roman"/>
          <w:sz w:val="24"/>
        </w:rPr>
        <w:t>[</w:t>
      </w:r>
      <w:r>
        <w:rPr>
          <w:rFonts w:ascii="Times New Roman" w:hAnsi="Times New Roman"/>
          <w:sz w:val="24"/>
          <w:highlight w:val="cyan"/>
        </w:rPr>
        <w:t>Pour les partenariats de coopération:</w:t>
      </w:r>
    </w:p>
    <w:p>
      <w:pPr>
        <w:jc w:val="both"/>
        <w:rPr>
          <w:rFonts w:ascii="Times New Roman" w:hAnsi="Times New Roman"/>
          <w:sz w:val="24"/>
          <w:szCs w:val="24"/>
        </w:rPr>
      </w:pPr>
      <w:r>
        <w:rPr>
          <w:rFonts w:ascii="Times New Roman" w:hAnsi="Times New Roman"/>
          <w:sz w:val="24"/>
        </w:rPr>
        <w:t xml:space="preserve">Si le rapport final obtient une note totale inférieure à 70 points, l’Agence peut réduire le montant final de la subvention au motif d’une exécution insuffisante, partielle ou tardive </w:t>
      </w:r>
      <w:r>
        <w:rPr>
          <w:rFonts w:ascii="Times New Roman" w:hAnsi="Times New Roman"/>
          <w:sz w:val="24"/>
        </w:rPr>
        <w:lastRenderedPageBreak/>
        <w:t>de l’action, même si toutes les activités décrites dans le rapport sont éligibles et se sont effectivement déroulées. Dans ce cas, une réduction de la subvention peut atteindre:</w:t>
      </w:r>
    </w:p>
    <w:p>
      <w:pPr>
        <w:numPr>
          <w:ilvl w:val="0"/>
          <w:numId w:val="237"/>
        </w:numPr>
        <w:jc w:val="both"/>
        <w:rPr>
          <w:rFonts w:ascii="Times New Roman" w:hAnsi="Times New Roman"/>
          <w:sz w:val="24"/>
          <w:szCs w:val="24"/>
        </w:rPr>
      </w:pPr>
      <w:r>
        <w:rPr>
          <w:rFonts w:ascii="Times New Roman" w:hAnsi="Times New Roman"/>
          <w:sz w:val="24"/>
        </w:rPr>
        <w:t>10 % si la note du rapport final se situe entre 69 et 55 points;</w:t>
      </w:r>
    </w:p>
    <w:p>
      <w:pPr>
        <w:numPr>
          <w:ilvl w:val="0"/>
          <w:numId w:val="237"/>
        </w:numPr>
        <w:jc w:val="both"/>
        <w:rPr>
          <w:rFonts w:ascii="Times New Roman" w:hAnsi="Times New Roman"/>
          <w:sz w:val="24"/>
          <w:szCs w:val="24"/>
        </w:rPr>
      </w:pPr>
      <w:r>
        <w:rPr>
          <w:rFonts w:ascii="Times New Roman" w:hAnsi="Times New Roman"/>
          <w:sz w:val="24"/>
        </w:rPr>
        <w:t>40 % si la note du rapport final se situe entre 54 et 40 points;</w:t>
      </w:r>
    </w:p>
    <w:p>
      <w:pPr>
        <w:numPr>
          <w:ilvl w:val="0"/>
          <w:numId w:val="237"/>
        </w:numPr>
        <w:jc w:val="both"/>
        <w:rPr>
          <w:rFonts w:ascii="Times New Roman" w:hAnsi="Times New Roman"/>
          <w:sz w:val="24"/>
          <w:szCs w:val="24"/>
        </w:rPr>
      </w:pPr>
      <w:r>
        <w:rPr>
          <w:rFonts w:ascii="Times New Roman" w:hAnsi="Times New Roman"/>
          <w:sz w:val="24"/>
        </w:rPr>
        <w:t>70 % si la note du rapport final se situe entre 39 et 0 points.</w:t>
      </w:r>
    </w:p>
    <w:p>
      <w:pPr>
        <w:jc w:val="both"/>
        <w:rPr>
          <w:rFonts w:ascii="Times New Roman" w:hAnsi="Times New Roman"/>
          <w:sz w:val="24"/>
          <w:szCs w:val="24"/>
        </w:rPr>
      </w:pPr>
      <w:r>
        <w:rPr>
          <w:rFonts w:ascii="Times New Roman" w:hAnsi="Times New Roman"/>
          <w:sz w:val="24"/>
        </w:rPr>
        <w:t>Si la note globale du projet est supérieure à 70 points, mais que la note d’un ou de plusieurs modules de travail est inférieure à 70 points, une réduction de la subvention sera appliquée à ces seuls modules de travail, sur la base de la même échelle que ci-dessus.</w:t>
      </w:r>
    </w:p>
    <w:p>
      <w:pPr>
        <w:jc w:val="both"/>
        <w:rPr>
          <w:rFonts w:ascii="Times New Roman" w:hAnsi="Times New Roman"/>
          <w:sz w:val="24"/>
          <w:szCs w:val="24"/>
        </w:rPr>
      </w:pPr>
      <w:r>
        <w:rPr>
          <w:rFonts w:ascii="Times New Roman" w:hAnsi="Times New Roman"/>
          <w:sz w:val="24"/>
        </w:rPr>
        <w:t>Si un module de travail prévu n’est pas exécuté et qu’il n’est pas remplacé en temps utile par un autre module de travail équivalent en termes de budget et d’activités, l’Agence réduit la subvention du montant alloué à ce module de travail.]</w:t>
      </w:r>
    </w:p>
    <w:p>
      <w:pPr>
        <w:widowControl w:val="0"/>
        <w:spacing w:line="273" w:lineRule="auto"/>
        <w:jc w:val="both"/>
        <w:rPr>
          <w:rFonts w:ascii="Times New Roman" w:hAnsi="Times New Roman"/>
          <w:sz w:val="24"/>
          <w:szCs w:val="24"/>
        </w:rPr>
      </w:pPr>
      <w:r>
        <w:rPr>
          <w:rFonts w:ascii="Times New Roman" w:hAnsi="Times New Roman"/>
          <w:sz w:val="24"/>
        </w:rPr>
        <w:t>[</w:t>
      </w:r>
      <w:r>
        <w:rPr>
          <w:rFonts w:ascii="Times New Roman" w:hAnsi="Times New Roman"/>
          <w:sz w:val="24"/>
          <w:highlight w:val="cyan"/>
        </w:rPr>
        <w:t>Pour les projets de partenariat simplifié:</w:t>
      </w:r>
      <w:r>
        <w:rPr>
          <w:rFonts w:ascii="Times New Roman" w:hAnsi="Times New Roman"/>
          <w:sz w:val="24"/>
        </w:rPr>
        <w:t xml:space="preserve"> </w:t>
      </w:r>
    </w:p>
    <w:p>
      <w:pPr>
        <w:jc w:val="both"/>
        <w:rPr>
          <w:rFonts w:ascii="Times New Roman" w:hAnsi="Times New Roman"/>
          <w:sz w:val="24"/>
          <w:szCs w:val="24"/>
        </w:rPr>
      </w:pPr>
      <w:r>
        <w:rPr>
          <w:rFonts w:ascii="Times New Roman" w:hAnsi="Times New Roman"/>
          <w:sz w:val="24"/>
        </w:rPr>
        <w:t>Si le rapport final obtient une note totale inférieure à 60 points, l’Agence peut réduire le montant final de la subvention au motif d’une exécution insuffisante, partielle ou tardive de l’action, même si toutes les activités décrites dans le rapport étaient éligibles et se sont effectivement déroulées. Dans ce cas, une réduction de la subvention peut atteindre:</w:t>
      </w:r>
    </w:p>
    <w:p>
      <w:pPr>
        <w:numPr>
          <w:ilvl w:val="0"/>
          <w:numId w:val="237"/>
        </w:numPr>
        <w:jc w:val="both"/>
        <w:rPr>
          <w:rFonts w:ascii="Times New Roman" w:hAnsi="Times New Roman"/>
          <w:sz w:val="24"/>
          <w:szCs w:val="24"/>
        </w:rPr>
      </w:pPr>
      <w:r>
        <w:rPr>
          <w:rFonts w:ascii="Times New Roman" w:hAnsi="Times New Roman"/>
          <w:sz w:val="24"/>
        </w:rPr>
        <w:t>10 % si la note du rapport final se situe entre 59 et 45 points;</w:t>
      </w:r>
    </w:p>
    <w:p>
      <w:pPr>
        <w:numPr>
          <w:ilvl w:val="0"/>
          <w:numId w:val="237"/>
        </w:numPr>
        <w:jc w:val="both"/>
        <w:rPr>
          <w:rFonts w:ascii="Times New Roman" w:hAnsi="Times New Roman"/>
          <w:sz w:val="24"/>
          <w:szCs w:val="24"/>
        </w:rPr>
      </w:pPr>
      <w:r>
        <w:rPr>
          <w:rFonts w:ascii="Times New Roman" w:hAnsi="Times New Roman"/>
          <w:sz w:val="24"/>
        </w:rPr>
        <w:t>30 % si la note du rapport final se situe entre 44 et 30 points;</w:t>
      </w:r>
    </w:p>
    <w:p>
      <w:pPr>
        <w:numPr>
          <w:ilvl w:val="0"/>
          <w:numId w:val="237"/>
        </w:numPr>
        <w:jc w:val="both"/>
        <w:rPr>
          <w:rFonts w:ascii="Times New Roman" w:hAnsi="Times New Roman"/>
          <w:sz w:val="24"/>
          <w:szCs w:val="24"/>
        </w:rPr>
      </w:pPr>
      <w:r>
        <w:rPr>
          <w:rFonts w:ascii="Times New Roman" w:hAnsi="Times New Roman"/>
          <w:sz w:val="24"/>
        </w:rPr>
        <w:t>70 % si la note du rapport final se situe entre 29 et 0 points.</w:t>
      </w:r>
    </w:p>
    <w:p>
      <w:pPr>
        <w:widowControl w:val="0"/>
        <w:spacing w:line="273" w:lineRule="auto"/>
        <w:jc w:val="both"/>
        <w:rPr>
          <w:rFonts w:ascii="Times New Roman" w:hAnsi="Times New Roman"/>
          <w:sz w:val="24"/>
          <w:szCs w:val="24"/>
        </w:rPr>
      </w:pPr>
      <w:r>
        <w:rPr>
          <w:rFonts w:ascii="Times New Roman" w:hAnsi="Times New Roman"/>
          <w:sz w:val="24"/>
        </w:rPr>
        <w:t>Si une activité prévue d’un projet n’est pas effectuée et qu’elle n’est pas remplacée par une autre activité équivalente en termes de contribution aux objectifs et de budget , l’Agence réduit la subvention du montant alloué à cette activité, comme indiqué à l’annexe II de la convention de subvention.]</w:t>
      </w:r>
    </w:p>
    <w:p>
      <w:pPr>
        <w:pStyle w:val="Titre1"/>
        <w:numPr>
          <w:ilvl w:val="0"/>
          <w:numId w:val="0"/>
        </w:numPr>
      </w:pPr>
      <w:bookmarkStart w:id="18" w:name="_Toc71910324"/>
      <w:bookmarkStart w:id="19" w:name="_Toc71910716"/>
      <w:bookmarkStart w:id="20" w:name="_Toc108782558"/>
      <w:r>
        <w:t>VI. CONTRÔLES DES BÉNÉFICIAIRES DE LA SUBVENTION ET COMMUNICATION DES PIÈCES JUSTIFICATIVES</w:t>
      </w:r>
      <w:bookmarkEnd w:id="18"/>
      <w:bookmarkEnd w:id="19"/>
      <w:bookmarkEnd w:id="20"/>
    </w:p>
    <w:p>
      <w:pPr>
        <w:pStyle w:val="Corpsdetexte"/>
      </w:pPr>
    </w:p>
    <w:p>
      <w:pPr>
        <w:jc w:val="both"/>
        <w:rPr>
          <w:rFonts w:ascii="Times New Roman" w:hAnsi="Times New Roman"/>
          <w:sz w:val="24"/>
          <w:szCs w:val="24"/>
        </w:rPr>
      </w:pPr>
      <w:r>
        <w:rPr>
          <w:rFonts w:ascii="Times New Roman" w:hAnsi="Times New Roman"/>
          <w:sz w:val="24"/>
        </w:rPr>
        <w:t xml:space="preserve">Conformément à l’article II.27 de l’annexe I de la convention, les bénéficiaires peuvent être soumis à des contrôles et à des audits liés à la convention. Ces contrôles et les audits ont pour but de vérifier que les bénéficiaires ont géré la subvention conformément aux </w:t>
      </w:r>
      <w:r>
        <w:rPr>
          <w:rFonts w:ascii="Times New Roman" w:hAnsi="Times New Roman"/>
          <w:sz w:val="24"/>
        </w:rPr>
        <w:lastRenderedPageBreak/>
        <w:t xml:space="preserve">règles définies dans la convention, afin d’établir le montant final de la subvention auquel ils peuvent prétendre. </w:t>
      </w:r>
    </w:p>
    <w:p>
      <w:pPr>
        <w:jc w:val="both"/>
        <w:rPr>
          <w:rFonts w:ascii="Times New Roman" w:hAnsi="Times New Roman"/>
          <w:sz w:val="24"/>
        </w:rPr>
      </w:pPr>
      <w:r>
        <w:rPr>
          <w:rFonts w:ascii="Times New Roman" w:hAnsi="Times New Roman"/>
          <w:sz w:val="24"/>
        </w:rPr>
        <w:t>Un contrôle du rapport final est effectué pour tous les projets. Le projet peut en outre faire l’objet également d’un contrôle sur pièces ou d’un contrôle sur site si la convention y afférente est sélectionnée dans l’échantillonnage de l’Agence requis par la Commission européenne ou si, sur la base d’une analyse de risque, l’Agence a sélectionné cette convention en vue d’un contrôle ciblé.</w:t>
      </w:r>
    </w:p>
    <w:p>
      <w:pPr>
        <w:jc w:val="both"/>
        <w:rPr>
          <w:rFonts w:ascii="Times New Roman" w:hAnsi="Times New Roman"/>
          <w:sz w:val="24"/>
          <w:szCs w:val="24"/>
        </w:rPr>
      </w:pPr>
      <w:r>
        <w:rPr>
          <w:rFonts w:ascii="Times New Roman" w:hAnsi="Times New Roman"/>
          <w:sz w:val="24"/>
        </w:rPr>
        <w:t>Pour le contrôle du rapport final et le contrôle documentaire, le coordinateur fournit à l’Agence des copies des pièces justificatives pertinentes (y compris les pièces justificatives des autres bénéficiaires) prouvant que les activités prévues dans le projet ont effectivement eu lieu (par exemple, le compte rendu de la réunion, le matériel de cours, les éléments livrables du projet, etc.), à moins que l’Agence réclame des originaux. L’Agence renvoie les pièces justificatives originales au bénéficiaire après les avoir analysées. Lorsque le bénéficiaire n’est pas juridiquement autorisé à transmettre des originaux aux fins du contrôle du rapport final ou du contrôle sur pièces, il peut envoyer une copie physique ou électronique des documents justificatifs.</w:t>
      </w:r>
    </w:p>
    <w:p>
      <w:pPr>
        <w:jc w:val="both"/>
        <w:rPr>
          <w:rFonts w:ascii="Times New Roman" w:hAnsi="Times New Roman"/>
          <w:sz w:val="24"/>
          <w:szCs w:val="24"/>
        </w:rPr>
      </w:pPr>
      <w:r>
        <w:rPr>
          <w:rFonts w:ascii="Times New Roman" w:hAnsi="Times New Roman"/>
          <w:sz w:val="24"/>
        </w:rPr>
        <w:t>L’Agence peut demander aux bénéficiaires de fournir, quel que soit le type de contrôle, des pièces justificatives ou des éléments de preuve complémentaires qui sont généralement exigés pour d’autres types de contrôle, comme indiqué à l’article II.27 des conditions générales.</w:t>
      </w:r>
    </w:p>
    <w:p>
      <w:pPr>
        <w:jc w:val="both"/>
        <w:rPr>
          <w:rFonts w:ascii="Times New Roman" w:eastAsia="SimSun" w:hAnsi="Times New Roman"/>
          <w:b/>
          <w:kern w:val="1"/>
          <w:sz w:val="24"/>
          <w:szCs w:val="24"/>
          <w:shd w:val="clear" w:color="auto" w:fill="00FFFF"/>
        </w:rPr>
      </w:pPr>
      <w:r>
        <w:rPr>
          <w:rFonts w:ascii="Times New Roman" w:hAnsi="Times New Roman"/>
          <w:sz w:val="24"/>
        </w:rPr>
        <w:t>Les différents contrôles exigés sont les suivants:</w:t>
      </w:r>
    </w:p>
    <w:p>
      <w:pPr>
        <w:pStyle w:val="Paragraphedeliste"/>
        <w:numPr>
          <w:ilvl w:val="0"/>
          <w:numId w:val="78"/>
        </w:numPr>
        <w:ind w:left="426"/>
        <w:jc w:val="both"/>
        <w:rPr>
          <w:rFonts w:cs="Times New Roman"/>
          <w:b w:val="0"/>
          <w:kern w:val="1"/>
          <w:szCs w:val="24"/>
        </w:rPr>
      </w:pPr>
      <w:r>
        <w:t>Contrôle du rapport final</w:t>
      </w:r>
    </w:p>
    <w:p>
      <w:pPr>
        <w:pStyle w:val="Paragraphedeliste"/>
        <w:jc w:val="both"/>
        <w:rPr>
          <w:rFonts w:cs="Times New Roman"/>
          <w:b w:val="0"/>
          <w:kern w:val="1"/>
          <w:szCs w:val="24"/>
        </w:rPr>
      </w:pPr>
    </w:p>
    <w:p>
      <w:pPr>
        <w:ind w:left="426"/>
        <w:jc w:val="both"/>
        <w:rPr>
          <w:rFonts w:ascii="Times New Roman" w:eastAsia="SimSun" w:hAnsi="Times New Roman"/>
          <w:kern w:val="1"/>
          <w:sz w:val="24"/>
          <w:szCs w:val="24"/>
        </w:rPr>
      </w:pPr>
      <w:r>
        <w:rPr>
          <w:rFonts w:ascii="Times New Roman" w:hAnsi="Times New Roman"/>
          <w:sz w:val="24"/>
        </w:rPr>
        <w:t xml:space="preserve">Le contrôle du rapport final est effectué dans les locaux de l’Agence au stade du rapport final afin d’établir le montant final de la subvention auquel les bénéficiaires peuvent prétendre. </w:t>
      </w:r>
    </w:p>
    <w:p>
      <w:pPr>
        <w:ind w:left="426"/>
        <w:jc w:val="both"/>
        <w:rPr>
          <w:rFonts w:ascii="Times New Roman" w:eastAsia="SimSun" w:hAnsi="Times New Roman"/>
          <w:kern w:val="1"/>
          <w:sz w:val="24"/>
          <w:szCs w:val="24"/>
        </w:rPr>
      </w:pPr>
      <w:r>
        <w:rPr>
          <w:rFonts w:ascii="Times New Roman" w:hAnsi="Times New Roman"/>
          <w:sz w:val="24"/>
        </w:rPr>
        <w:t>Le rapport final du bénéficiaire comporte les indications suivantes:</w:t>
      </w:r>
    </w:p>
    <w:p>
      <w:pPr>
        <w:pStyle w:val="Paragraphedeliste"/>
        <w:ind w:left="1800"/>
        <w:jc w:val="both"/>
      </w:pPr>
    </w:p>
    <w:p>
      <w:pPr>
        <w:numPr>
          <w:ilvl w:val="0"/>
          <w:numId w:val="165"/>
        </w:numPr>
        <w:spacing w:after="0"/>
        <w:ind w:left="1491" w:hanging="357"/>
        <w:jc w:val="both"/>
        <w:rPr>
          <w:rFonts w:ascii="Times New Roman" w:hAnsi="Times New Roman"/>
          <w:kern w:val="1"/>
          <w:sz w:val="24"/>
          <w:szCs w:val="24"/>
        </w:rPr>
      </w:pPr>
      <w:r>
        <w:rPr>
          <w:rFonts w:ascii="Times New Roman" w:hAnsi="Times New Roman"/>
          <w:sz w:val="24"/>
        </w:rPr>
        <w:t xml:space="preserve">Description détaillée de chaque activité réalisée. </w:t>
      </w:r>
    </w:p>
    <w:p>
      <w:pPr>
        <w:numPr>
          <w:ilvl w:val="0"/>
          <w:numId w:val="165"/>
        </w:numPr>
        <w:spacing w:after="0"/>
        <w:ind w:left="1491" w:hanging="357"/>
        <w:jc w:val="both"/>
        <w:rPr>
          <w:rFonts w:ascii="Times New Roman" w:hAnsi="Times New Roman"/>
          <w:kern w:val="1"/>
          <w:sz w:val="24"/>
          <w:szCs w:val="24"/>
        </w:rPr>
      </w:pPr>
      <w:r>
        <w:rPr>
          <w:rFonts w:ascii="Times New Roman" w:hAnsi="Times New Roman"/>
          <w:sz w:val="24"/>
        </w:rPr>
        <w:t>Informations quantitatives et qualitatives sur le niveau des résultats obtenus au regard des objectifs du projet indiqués dans la demande.</w:t>
      </w:r>
    </w:p>
    <w:p>
      <w:pPr>
        <w:numPr>
          <w:ilvl w:val="0"/>
          <w:numId w:val="165"/>
        </w:numPr>
        <w:spacing w:after="0"/>
        <w:ind w:left="1491" w:hanging="357"/>
        <w:jc w:val="both"/>
        <w:rPr>
          <w:rFonts w:ascii="Times New Roman" w:hAnsi="Times New Roman"/>
          <w:kern w:val="1"/>
          <w:sz w:val="24"/>
          <w:szCs w:val="24"/>
        </w:rPr>
      </w:pPr>
      <w:r>
        <w:rPr>
          <w:rFonts w:ascii="Times New Roman" w:hAnsi="Times New Roman"/>
          <w:sz w:val="24"/>
        </w:rPr>
        <w:t xml:space="preserve">Résultats du projet, en les chargeant sur la plateforme des résultats de projets Erasmus+ (Erasmus+ Project Results Platform). </w:t>
      </w:r>
    </w:p>
    <w:p>
      <w:pPr>
        <w:numPr>
          <w:ilvl w:val="0"/>
          <w:numId w:val="165"/>
        </w:numPr>
        <w:spacing w:after="0"/>
        <w:ind w:left="1491" w:hanging="357"/>
        <w:jc w:val="both"/>
        <w:rPr>
          <w:rFonts w:ascii="Times New Roman" w:hAnsi="Times New Roman"/>
          <w:kern w:val="1"/>
          <w:sz w:val="24"/>
          <w:szCs w:val="24"/>
        </w:rPr>
      </w:pPr>
      <w:r>
        <w:rPr>
          <w:rFonts w:ascii="Times New Roman" w:hAnsi="Times New Roman"/>
          <w:sz w:val="24"/>
        </w:rPr>
        <w:t>Autoévaluation, indiquant en pourcentage le niveau des résultats obtenus au regard des objectifs du projet.</w:t>
      </w:r>
    </w:p>
    <w:p>
      <w:pPr>
        <w:numPr>
          <w:ilvl w:val="0"/>
          <w:numId w:val="165"/>
        </w:numPr>
        <w:spacing w:after="0"/>
        <w:ind w:left="1491" w:hanging="357"/>
        <w:jc w:val="both"/>
        <w:rPr>
          <w:rFonts w:ascii="Times New Roman" w:hAnsi="Times New Roman"/>
          <w:kern w:val="1"/>
          <w:sz w:val="24"/>
          <w:szCs w:val="24"/>
        </w:rPr>
      </w:pPr>
      <w:r>
        <w:rPr>
          <w:rFonts w:ascii="Times New Roman" w:hAnsi="Times New Roman"/>
          <w:sz w:val="24"/>
        </w:rPr>
        <w:lastRenderedPageBreak/>
        <w:t>Pièces justificatives pertinentes</w:t>
      </w:r>
    </w:p>
    <w:p/>
    <w:p>
      <w:pPr>
        <w:pStyle w:val="Paragraphedeliste"/>
        <w:numPr>
          <w:ilvl w:val="0"/>
          <w:numId w:val="78"/>
        </w:numPr>
        <w:ind w:left="426" w:hanging="426"/>
        <w:jc w:val="both"/>
        <w:rPr>
          <w:rFonts w:cs="Times New Roman"/>
          <w:b w:val="0"/>
          <w:kern w:val="1"/>
          <w:szCs w:val="24"/>
        </w:rPr>
      </w:pPr>
      <w:r>
        <w:t>Contrôle sur pièces</w:t>
      </w:r>
    </w:p>
    <w:p>
      <w:pPr>
        <w:pStyle w:val="Paragraphedeliste"/>
        <w:jc w:val="both"/>
        <w:rPr>
          <w:rFonts w:cs="Times New Roman"/>
          <w:b w:val="0"/>
          <w:kern w:val="1"/>
          <w:szCs w:val="24"/>
        </w:rPr>
      </w:pPr>
    </w:p>
    <w:p>
      <w:pPr>
        <w:ind w:left="426"/>
        <w:jc w:val="both"/>
        <w:rPr>
          <w:rFonts w:ascii="Times New Roman" w:eastAsia="SimSun" w:hAnsi="Times New Roman"/>
          <w:kern w:val="1"/>
          <w:sz w:val="24"/>
          <w:szCs w:val="24"/>
        </w:rPr>
      </w:pPr>
      <w:r>
        <w:rPr>
          <w:rFonts w:ascii="Times New Roman" w:hAnsi="Times New Roman"/>
          <w:sz w:val="24"/>
        </w:rPr>
        <w:t>Le contrôle sur pièces est un contrôle approfondi des pièces justificatives ainsi que des éléments de preuve de la réalité sous-jacente de la mise en œuvre du projet qui, mené dans les locaux de l’Agence, peut être effectué au stade du rapport final ou ultérieurement.</w:t>
      </w:r>
    </w:p>
    <w:p>
      <w:pPr>
        <w:ind w:left="426"/>
        <w:jc w:val="both"/>
        <w:rPr>
          <w:rFonts w:ascii="Times New Roman" w:hAnsi="Times New Roman"/>
          <w:b/>
          <w:kern w:val="1"/>
          <w:sz w:val="24"/>
          <w:szCs w:val="24"/>
        </w:rPr>
      </w:pPr>
      <w:r>
        <w:rPr>
          <w:rFonts w:ascii="Times New Roman" w:hAnsi="Times New Roman"/>
          <w:sz w:val="24"/>
        </w:rPr>
        <w:t>Sur demande, le coordinateur remet à l’Agence les pièces justificatives pertinentes, ainsi que les éléments de preuve à l’appui de la qualité des produits.</w:t>
      </w:r>
    </w:p>
    <w:p>
      <w:pPr>
        <w:pStyle w:val="Paragraphedeliste"/>
        <w:numPr>
          <w:ilvl w:val="0"/>
          <w:numId w:val="78"/>
        </w:numPr>
        <w:tabs>
          <w:tab w:val="left" w:pos="426"/>
        </w:tabs>
        <w:spacing w:line="276" w:lineRule="auto"/>
        <w:ind w:left="426" w:hanging="426"/>
        <w:jc w:val="both"/>
        <w:rPr>
          <w:rFonts w:cs="Times New Roman"/>
          <w:b w:val="0"/>
          <w:kern w:val="1"/>
          <w:szCs w:val="24"/>
        </w:rPr>
      </w:pPr>
      <w:r>
        <w:t>Contrôles sur place</w:t>
      </w:r>
    </w:p>
    <w:p>
      <w:pPr>
        <w:pStyle w:val="Paragraphedeliste"/>
        <w:spacing w:line="276" w:lineRule="auto"/>
        <w:jc w:val="both"/>
        <w:rPr>
          <w:rFonts w:cs="Times New Roman"/>
          <w:b w:val="0"/>
          <w:kern w:val="1"/>
          <w:szCs w:val="24"/>
        </w:rPr>
      </w:pPr>
    </w:p>
    <w:p>
      <w:pPr>
        <w:ind w:left="426"/>
        <w:jc w:val="both"/>
        <w:rPr>
          <w:rFonts w:ascii="Times New Roman" w:hAnsi="Times New Roman"/>
          <w:sz w:val="24"/>
          <w:szCs w:val="24"/>
        </w:rPr>
      </w:pPr>
      <w:r>
        <w:rPr>
          <w:rFonts w:ascii="Times New Roman" w:hAnsi="Times New Roman"/>
          <w:sz w:val="24"/>
        </w:rPr>
        <w:t>Des contrôles sur place sont effectués par l’Agence dans les locaux des bénéficiaires ou dans tout autre local pertinent pour l’exécution du projet. Lors des contrôles sur place, les bénéficiaires mettent les pièces justificatives originales à la disposition de l’Agence pour examen et lui permettent d’accéder à l’enregistrement des dépenses du projet dans leurs comptes.</w:t>
      </w:r>
    </w:p>
    <w:p>
      <w:pPr>
        <w:ind w:left="426"/>
        <w:jc w:val="both"/>
        <w:rPr>
          <w:rFonts w:ascii="Times New Roman" w:eastAsia="SimSun" w:hAnsi="Times New Roman"/>
          <w:kern w:val="1"/>
          <w:sz w:val="24"/>
          <w:szCs w:val="24"/>
        </w:rPr>
      </w:pPr>
      <w:r>
        <w:rPr>
          <w:rFonts w:ascii="Times New Roman" w:hAnsi="Times New Roman"/>
          <w:sz w:val="24"/>
        </w:rPr>
        <w:t>Les contrôles sur place peuvent prendre les formes suivantes:</w:t>
      </w:r>
    </w:p>
    <w:p>
      <w:pPr>
        <w:pStyle w:val="Paragraphedeliste"/>
        <w:numPr>
          <w:ilvl w:val="0"/>
          <w:numId w:val="237"/>
        </w:numPr>
        <w:spacing w:line="276" w:lineRule="auto"/>
        <w:jc w:val="both"/>
        <w:rPr>
          <w:b w:val="0"/>
        </w:rPr>
      </w:pPr>
      <w:r>
        <w:rPr>
          <w:b w:val="0"/>
        </w:rPr>
        <w:t xml:space="preserve">contrôle sur place pendant l’exécution du projet: ce contrôle est réalisé pendant l’exécution du projet afin que l’Agence puisse vérifier directement la réalité et l’éligibilité de toutes les activités du projet et de ses participants </w:t>
      </w:r>
    </w:p>
    <w:p>
      <w:pPr>
        <w:pStyle w:val="Paragraphedeliste"/>
        <w:tabs>
          <w:tab w:val="left" w:pos="851"/>
        </w:tabs>
        <w:spacing w:line="276" w:lineRule="auto"/>
        <w:jc w:val="both"/>
        <w:rPr>
          <w:szCs w:val="24"/>
        </w:rPr>
      </w:pPr>
    </w:p>
    <w:p>
      <w:pPr>
        <w:pStyle w:val="Paragraphedeliste"/>
        <w:numPr>
          <w:ilvl w:val="0"/>
          <w:numId w:val="237"/>
        </w:numPr>
        <w:tabs>
          <w:tab w:val="left" w:pos="851"/>
        </w:tabs>
        <w:spacing w:line="276" w:lineRule="auto"/>
        <w:jc w:val="both"/>
        <w:rPr>
          <w:kern w:val="1"/>
          <w:szCs w:val="24"/>
        </w:rPr>
      </w:pPr>
      <w:r>
        <w:rPr>
          <w:b w:val="0"/>
        </w:rPr>
        <w:t>contrôle sur place après l’achèvement du projet:</w:t>
      </w:r>
      <w:r>
        <w:t xml:space="preserve"> </w:t>
      </w:r>
      <w:r>
        <w:rPr>
          <w:b w:val="0"/>
        </w:rPr>
        <w:t>ce contrôle est réalisé après la fin du projet et généralement après le contrôle du rapport final.</w:t>
      </w:r>
    </w:p>
    <w:p>
      <w:pPr>
        <w:jc w:val="both"/>
        <w:rPr>
          <w:rFonts w:ascii="Times New Roman" w:hAnsi="Times New Roman"/>
        </w:rPr>
      </w:pPr>
    </w:p>
    <w:sectPr>
      <w:footerReference w:type="default" r:id="rId12"/>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nt218">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r>
      <w:fldChar w:fldCharType="begin"/>
    </w:r>
    <w:r>
      <w:instrText xml:space="preserve"> PAGE   \* MERGEFORMAT </w:instrText>
    </w:r>
    <w:r>
      <w:fldChar w:fldCharType="separate"/>
    </w:r>
    <w:r>
      <w:rPr>
        <w:noProof/>
      </w:rPr>
      <w:t>7</w:t>
    </w:r>
    <w: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itre1"/>
      <w:lvlText w:val="(%1)"/>
      <w:lvlJc w:val="left"/>
      <w:pPr>
        <w:tabs>
          <w:tab w:val="num" w:pos="709"/>
        </w:tabs>
        <w:ind w:left="709" w:hanging="709"/>
      </w:pPr>
    </w:lvl>
    <w:lvl w:ilvl="1">
      <w:start w:val="1"/>
      <w:numFmt w:val="lowerLetter"/>
      <w:pStyle w:val="ListNumber4Level2"/>
      <w:lvlText w:val="(%2)"/>
      <w:lvlJc w:val="left"/>
      <w:pPr>
        <w:tabs>
          <w:tab w:val="num" w:pos="1417"/>
        </w:tabs>
        <w:ind w:left="1417" w:hanging="708"/>
      </w:pPr>
    </w:lvl>
    <w:lvl w:ilvl="2">
      <w:start w:val="1"/>
      <w:numFmt w:val="none"/>
      <w:suff w:val="nothing"/>
      <w:lvlText w:val=""/>
      <w:lvlJc w:val="left"/>
      <w:pPr>
        <w:tabs>
          <w:tab w:val="num" w:pos="-482"/>
        </w:tabs>
        <w:ind w:left="-482" w:hanging="720"/>
      </w:pPr>
    </w:lvl>
    <w:lvl w:ilvl="3">
      <w:start w:val="1"/>
      <w:numFmt w:val="none"/>
      <w:suff w:val="nothing"/>
      <w:lvlText w:val=""/>
      <w:lvlJc w:val="left"/>
      <w:pPr>
        <w:tabs>
          <w:tab w:val="num" w:pos="-338"/>
        </w:tabs>
        <w:ind w:left="-338" w:hanging="864"/>
      </w:pPr>
    </w:lvl>
    <w:lvl w:ilvl="4">
      <w:start w:val="1"/>
      <w:numFmt w:val="none"/>
      <w:suff w:val="nothing"/>
      <w:lvlText w:val=""/>
      <w:lvlJc w:val="left"/>
      <w:pPr>
        <w:tabs>
          <w:tab w:val="num" w:pos="-194"/>
        </w:tabs>
        <w:ind w:left="-194" w:hanging="1008"/>
      </w:pPr>
    </w:lvl>
    <w:lvl w:ilvl="5">
      <w:start w:val="1"/>
      <w:numFmt w:val="none"/>
      <w:suff w:val="nothing"/>
      <w:lvlText w:val=""/>
      <w:lvlJc w:val="left"/>
      <w:pPr>
        <w:tabs>
          <w:tab w:val="num" w:pos="-50"/>
        </w:tabs>
        <w:ind w:left="-50" w:hanging="1152"/>
      </w:pPr>
    </w:lvl>
    <w:lvl w:ilvl="6">
      <w:start w:val="1"/>
      <w:numFmt w:val="none"/>
      <w:suff w:val="nothing"/>
      <w:lvlText w:val=""/>
      <w:lvlJc w:val="left"/>
      <w:pPr>
        <w:tabs>
          <w:tab w:val="num" w:pos="94"/>
        </w:tabs>
        <w:ind w:left="94" w:hanging="1296"/>
      </w:pPr>
    </w:lvl>
    <w:lvl w:ilvl="7">
      <w:start w:val="1"/>
      <w:numFmt w:val="none"/>
      <w:suff w:val="nothing"/>
      <w:lvlText w:val=""/>
      <w:lvlJc w:val="left"/>
      <w:pPr>
        <w:tabs>
          <w:tab w:val="num" w:pos="238"/>
        </w:tabs>
        <w:ind w:left="238" w:hanging="1440"/>
      </w:pPr>
    </w:lvl>
    <w:lvl w:ilvl="8">
      <w:start w:val="1"/>
      <w:numFmt w:val="none"/>
      <w:suff w:val="nothing"/>
      <w:lvlText w:val=""/>
      <w:lvlJc w:val="left"/>
      <w:pPr>
        <w:tabs>
          <w:tab w:val="num" w:pos="382"/>
        </w:tabs>
        <w:ind w:left="382"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123002"/>
    <w:name w:val="WWNum28"/>
    <w:lvl w:ilvl="0">
      <w:start w:val="1"/>
      <w:numFmt w:val="lowerLetter"/>
      <w:lvlText w:val="(%1)"/>
      <w:lvlJc w:val="left"/>
      <w:pPr>
        <w:tabs>
          <w:tab w:val="num" w:pos="1341"/>
        </w:tabs>
        <w:ind w:left="2061"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96"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9"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0"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1"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09343BDD"/>
    <w:multiLevelType w:val="hybridMultilevel"/>
    <w:tmpl w:val="92486094"/>
    <w:lvl w:ilvl="0" w:tplc="ACAA64F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3"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4"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5"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7"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8"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1"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2"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3"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4" w15:restartNumberingAfterBreak="0">
    <w:nsid w:val="131B2B01"/>
    <w:multiLevelType w:val="hybridMultilevel"/>
    <w:tmpl w:val="98A0DF1E"/>
    <w:lvl w:ilvl="0" w:tplc="059A1E88">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5"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6"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9"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0"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1"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3"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5" w15:restartNumberingAfterBreak="0">
    <w:nsid w:val="1C3C5B3A"/>
    <w:multiLevelType w:val="hybridMultilevel"/>
    <w:tmpl w:val="68A6FF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1DE3483C"/>
    <w:multiLevelType w:val="hybridMultilevel"/>
    <w:tmpl w:val="F6363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7"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8"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0" w15:restartNumberingAfterBreak="0">
    <w:nsid w:val="24CD78F6"/>
    <w:multiLevelType w:val="multilevel"/>
    <w:tmpl w:val="AC6AE1B0"/>
    <w:lvl w:ilvl="0">
      <w:start w:val="1"/>
      <w:numFmt w:val="bullet"/>
      <w:lvlText w:val=""/>
      <w:lvlJc w:val="left"/>
      <w:pPr>
        <w:tabs>
          <w:tab w:val="num" w:pos="3609"/>
        </w:tabs>
        <w:ind w:left="4329" w:hanging="360"/>
      </w:pPr>
      <w:rPr>
        <w:rFonts w:ascii="Symbol" w:hAnsi="Symbol"/>
      </w:rPr>
    </w:lvl>
    <w:lvl w:ilvl="1">
      <w:start w:val="1"/>
      <w:numFmt w:val="bullet"/>
      <w:lvlText w:val="-"/>
      <w:lvlJc w:val="left"/>
      <w:pPr>
        <w:tabs>
          <w:tab w:val="num" w:pos="3609"/>
        </w:tabs>
        <w:ind w:left="5049" w:hanging="360"/>
      </w:pPr>
      <w:rPr>
        <w:rFonts w:ascii="Verdana" w:eastAsia="Times New Roman" w:hAnsi="Verdana" w:cs="Times New Roman" w:hint="default"/>
      </w:rPr>
    </w:lvl>
    <w:lvl w:ilvl="2">
      <w:start w:val="1"/>
      <w:numFmt w:val="bullet"/>
      <w:lvlText w:val=""/>
      <w:lvlJc w:val="left"/>
      <w:pPr>
        <w:tabs>
          <w:tab w:val="num" w:pos="3609"/>
        </w:tabs>
        <w:ind w:left="5769" w:hanging="360"/>
      </w:pPr>
      <w:rPr>
        <w:rFonts w:ascii="Wingdings" w:hAnsi="Wingdings"/>
      </w:rPr>
    </w:lvl>
    <w:lvl w:ilvl="3">
      <w:start w:val="1"/>
      <w:numFmt w:val="bullet"/>
      <w:lvlText w:val=""/>
      <w:lvlJc w:val="left"/>
      <w:pPr>
        <w:tabs>
          <w:tab w:val="num" w:pos="3609"/>
        </w:tabs>
        <w:ind w:left="6489" w:hanging="360"/>
      </w:pPr>
      <w:rPr>
        <w:rFonts w:ascii="Symbol" w:hAnsi="Symbol"/>
      </w:rPr>
    </w:lvl>
    <w:lvl w:ilvl="4">
      <w:start w:val="1"/>
      <w:numFmt w:val="bullet"/>
      <w:lvlText w:val="o"/>
      <w:lvlJc w:val="left"/>
      <w:pPr>
        <w:tabs>
          <w:tab w:val="num" w:pos="3609"/>
        </w:tabs>
        <w:ind w:left="7209" w:hanging="360"/>
      </w:pPr>
      <w:rPr>
        <w:rFonts w:ascii="Courier New" w:hAnsi="Courier New" w:cs="Courier New"/>
      </w:rPr>
    </w:lvl>
    <w:lvl w:ilvl="5">
      <w:start w:val="1"/>
      <w:numFmt w:val="bullet"/>
      <w:lvlText w:val=""/>
      <w:lvlJc w:val="left"/>
      <w:pPr>
        <w:tabs>
          <w:tab w:val="num" w:pos="3609"/>
        </w:tabs>
        <w:ind w:left="7929" w:hanging="360"/>
      </w:pPr>
      <w:rPr>
        <w:rFonts w:ascii="Wingdings" w:hAnsi="Wingdings"/>
      </w:rPr>
    </w:lvl>
    <w:lvl w:ilvl="6">
      <w:start w:val="1"/>
      <w:numFmt w:val="bullet"/>
      <w:lvlText w:val=""/>
      <w:lvlJc w:val="left"/>
      <w:pPr>
        <w:tabs>
          <w:tab w:val="num" w:pos="3609"/>
        </w:tabs>
        <w:ind w:left="8649" w:hanging="360"/>
      </w:pPr>
      <w:rPr>
        <w:rFonts w:ascii="Symbol" w:hAnsi="Symbol"/>
      </w:rPr>
    </w:lvl>
    <w:lvl w:ilvl="7">
      <w:start w:val="1"/>
      <w:numFmt w:val="bullet"/>
      <w:lvlText w:val="o"/>
      <w:lvlJc w:val="left"/>
      <w:pPr>
        <w:tabs>
          <w:tab w:val="num" w:pos="3609"/>
        </w:tabs>
        <w:ind w:left="9369" w:hanging="360"/>
      </w:pPr>
      <w:rPr>
        <w:rFonts w:ascii="Courier New" w:hAnsi="Courier New" w:cs="Courier New"/>
      </w:rPr>
    </w:lvl>
    <w:lvl w:ilvl="8">
      <w:start w:val="1"/>
      <w:numFmt w:val="bullet"/>
      <w:lvlText w:val=""/>
      <w:lvlJc w:val="left"/>
      <w:pPr>
        <w:tabs>
          <w:tab w:val="num" w:pos="3609"/>
        </w:tabs>
        <w:ind w:left="10089" w:hanging="360"/>
      </w:pPr>
      <w:rPr>
        <w:rFonts w:ascii="Wingdings" w:hAnsi="Wingdings"/>
      </w:rPr>
    </w:lvl>
  </w:abstractNum>
  <w:abstractNum w:abstractNumId="131"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2" w15:restartNumberingAfterBreak="0">
    <w:nsid w:val="259447A2"/>
    <w:multiLevelType w:val="hybridMultilevel"/>
    <w:tmpl w:val="7972906C"/>
    <w:lvl w:ilvl="0" w:tplc="E4ECAFBC">
      <w:start w:val="1"/>
      <w:numFmt w:val="upperLetter"/>
      <w:pStyle w:val="Heading31"/>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33"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4"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66069E2"/>
    <w:multiLevelType w:val="multilevel"/>
    <w:tmpl w:val="B56C67F0"/>
    <w:lvl w:ilvl="0">
      <w:start w:val="1"/>
      <w:numFmt w:val="bullet"/>
      <w:lvlText w:val=""/>
      <w:lvlJc w:val="left"/>
      <w:pPr>
        <w:tabs>
          <w:tab w:val="num" w:pos="349"/>
        </w:tabs>
        <w:ind w:left="1069" w:hanging="360"/>
      </w:pPr>
      <w:rPr>
        <w:rFonts w:ascii="Symbol" w:hAnsi="Symbol" w:hint="default"/>
      </w:rPr>
    </w:lvl>
    <w:lvl w:ilvl="1">
      <w:start w:val="1"/>
      <w:numFmt w:val="bullet"/>
      <w:lvlText w:val="o"/>
      <w:lvlJc w:val="left"/>
      <w:pPr>
        <w:tabs>
          <w:tab w:val="num" w:pos="349"/>
        </w:tabs>
        <w:ind w:left="1789" w:hanging="360"/>
      </w:pPr>
      <w:rPr>
        <w:rFonts w:ascii="Courier New" w:hAnsi="Courier New" w:cs="Courier New"/>
      </w:rPr>
    </w:lvl>
    <w:lvl w:ilvl="2">
      <w:start w:val="1"/>
      <w:numFmt w:val="bullet"/>
      <w:lvlText w:val=""/>
      <w:lvlJc w:val="left"/>
      <w:pPr>
        <w:tabs>
          <w:tab w:val="num" w:pos="349"/>
        </w:tabs>
        <w:ind w:left="2509" w:hanging="360"/>
      </w:pPr>
      <w:rPr>
        <w:rFonts w:ascii="Wingdings" w:hAnsi="Wingdings"/>
      </w:rPr>
    </w:lvl>
    <w:lvl w:ilvl="3">
      <w:start w:val="1"/>
      <w:numFmt w:val="bullet"/>
      <w:lvlText w:val=""/>
      <w:lvlJc w:val="left"/>
      <w:pPr>
        <w:tabs>
          <w:tab w:val="num" w:pos="349"/>
        </w:tabs>
        <w:ind w:left="3229" w:hanging="360"/>
      </w:pPr>
      <w:rPr>
        <w:rFonts w:ascii="Symbol" w:hAnsi="Symbol"/>
      </w:rPr>
    </w:lvl>
    <w:lvl w:ilvl="4">
      <w:start w:val="1"/>
      <w:numFmt w:val="bullet"/>
      <w:lvlText w:val="o"/>
      <w:lvlJc w:val="left"/>
      <w:pPr>
        <w:tabs>
          <w:tab w:val="num" w:pos="349"/>
        </w:tabs>
        <w:ind w:left="3949" w:hanging="360"/>
      </w:pPr>
      <w:rPr>
        <w:rFonts w:ascii="Courier New" w:hAnsi="Courier New" w:cs="Courier New"/>
      </w:rPr>
    </w:lvl>
    <w:lvl w:ilvl="5">
      <w:start w:val="1"/>
      <w:numFmt w:val="bullet"/>
      <w:lvlText w:val=""/>
      <w:lvlJc w:val="left"/>
      <w:pPr>
        <w:tabs>
          <w:tab w:val="num" w:pos="349"/>
        </w:tabs>
        <w:ind w:left="4669" w:hanging="360"/>
      </w:pPr>
      <w:rPr>
        <w:rFonts w:ascii="Wingdings" w:hAnsi="Wingdings"/>
      </w:rPr>
    </w:lvl>
    <w:lvl w:ilvl="6">
      <w:start w:val="1"/>
      <w:numFmt w:val="bullet"/>
      <w:lvlText w:val=""/>
      <w:lvlJc w:val="left"/>
      <w:pPr>
        <w:tabs>
          <w:tab w:val="num" w:pos="349"/>
        </w:tabs>
        <w:ind w:left="5389" w:hanging="360"/>
      </w:pPr>
      <w:rPr>
        <w:rFonts w:ascii="Symbol" w:hAnsi="Symbol"/>
      </w:rPr>
    </w:lvl>
    <w:lvl w:ilvl="7">
      <w:start w:val="1"/>
      <w:numFmt w:val="bullet"/>
      <w:lvlText w:val="o"/>
      <w:lvlJc w:val="left"/>
      <w:pPr>
        <w:tabs>
          <w:tab w:val="num" w:pos="349"/>
        </w:tabs>
        <w:ind w:left="6109" w:hanging="360"/>
      </w:pPr>
      <w:rPr>
        <w:rFonts w:ascii="Courier New" w:hAnsi="Courier New" w:cs="Courier New"/>
      </w:rPr>
    </w:lvl>
    <w:lvl w:ilvl="8">
      <w:start w:val="1"/>
      <w:numFmt w:val="bullet"/>
      <w:lvlText w:val=""/>
      <w:lvlJc w:val="left"/>
      <w:pPr>
        <w:tabs>
          <w:tab w:val="num" w:pos="349"/>
        </w:tabs>
        <w:ind w:left="6829" w:hanging="360"/>
      </w:pPr>
      <w:rPr>
        <w:rFonts w:ascii="Wingdings" w:hAnsi="Wingdings"/>
      </w:rPr>
    </w:lvl>
  </w:abstractNum>
  <w:abstractNum w:abstractNumId="136"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7"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9"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1"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2"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3"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4"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5"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2E385047"/>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0"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1"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52" w15:restartNumberingAfterBreak="0">
    <w:nsid w:val="315C663B"/>
    <w:multiLevelType w:val="multilevel"/>
    <w:tmpl w:val="4680F96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3"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4"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5"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7" w15:restartNumberingAfterBreak="0">
    <w:nsid w:val="34EF7A76"/>
    <w:multiLevelType w:val="hybridMultilevel"/>
    <w:tmpl w:val="394A169E"/>
    <w:lvl w:ilvl="0" w:tplc="ACAA64FC">
      <w:numFmt w:val="bullet"/>
      <w:lvlText w:val="-"/>
      <w:lvlJc w:val="left"/>
      <w:pPr>
        <w:ind w:left="1571" w:hanging="360"/>
      </w:pPr>
      <w:rPr>
        <w:rFonts w:ascii="Calibri" w:eastAsia="Calibri" w:hAnsi="Calibri" w:cs="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8"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60"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2" w15:restartNumberingAfterBreak="0">
    <w:nsid w:val="39E67576"/>
    <w:multiLevelType w:val="hybridMultilevel"/>
    <w:tmpl w:val="EF923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3"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4"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7"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8"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0" w15:restartNumberingAfterBreak="0">
    <w:nsid w:val="456620EA"/>
    <w:multiLevelType w:val="hybridMultilevel"/>
    <w:tmpl w:val="C960E82C"/>
    <w:lvl w:ilvl="0" w:tplc="ACAA64FC">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2"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73"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74"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5"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7"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9" w15:restartNumberingAfterBreak="0">
    <w:nsid w:val="4C9005FE"/>
    <w:multiLevelType w:val="hybridMultilevel"/>
    <w:tmpl w:val="39CEE30E"/>
    <w:lvl w:ilvl="0" w:tplc="BCF0E9FE">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0"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1"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2" w15:restartNumberingAfterBreak="0">
    <w:nsid w:val="4FE13A18"/>
    <w:multiLevelType w:val="hybridMultilevel"/>
    <w:tmpl w:val="F8CC66EC"/>
    <w:lvl w:ilvl="0" w:tplc="08090017">
      <w:start w:val="1"/>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3"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4"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5"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86"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7"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88"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90"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1"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2" w15:restartNumberingAfterBreak="0">
    <w:nsid w:val="56FE1223"/>
    <w:multiLevelType w:val="hybridMultilevel"/>
    <w:tmpl w:val="17CC2B82"/>
    <w:lvl w:ilvl="0" w:tplc="71DA4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4"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5"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6"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7"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0" w15:restartNumberingAfterBreak="0">
    <w:nsid w:val="5C3D491A"/>
    <w:multiLevelType w:val="hybridMultilevel"/>
    <w:tmpl w:val="BCE8A79C"/>
    <w:lvl w:ilvl="0" w:tplc="0809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1"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3"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4"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6"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7"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8"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9"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0" w15:restartNumberingAfterBreak="0">
    <w:nsid w:val="66D0129C"/>
    <w:multiLevelType w:val="hybridMultilevel"/>
    <w:tmpl w:val="831EB7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2"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3"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4"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5"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6" w15:restartNumberingAfterBreak="0">
    <w:nsid w:val="6D7A2043"/>
    <w:multiLevelType w:val="hybridMultilevel"/>
    <w:tmpl w:val="EF2AD9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7"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18"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9"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0"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1"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4"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5"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6"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7"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8"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9"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0"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2"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33"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4"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5"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32"/>
  </w:num>
  <w:num w:numId="96">
    <w:abstractNumId w:val="197"/>
  </w:num>
  <w:num w:numId="97">
    <w:abstractNumId w:val="141"/>
  </w:num>
  <w:num w:numId="98">
    <w:abstractNumId w:val="190"/>
  </w:num>
  <w:num w:numId="99">
    <w:abstractNumId w:val="224"/>
  </w:num>
  <w:num w:numId="100">
    <w:abstractNumId w:val="142"/>
  </w:num>
  <w:num w:numId="101">
    <w:abstractNumId w:val="116"/>
  </w:num>
  <w:num w:numId="102">
    <w:abstractNumId w:val="139"/>
  </w:num>
  <w:num w:numId="103">
    <w:abstractNumId w:val="112"/>
  </w:num>
  <w:num w:numId="104">
    <w:abstractNumId w:val="151"/>
  </w:num>
  <w:num w:numId="105">
    <w:abstractNumId w:val="111"/>
  </w:num>
  <w:num w:numId="106">
    <w:abstractNumId w:val="110"/>
  </w:num>
  <w:num w:numId="107">
    <w:abstractNumId w:val="128"/>
  </w:num>
  <w:num w:numId="108">
    <w:abstractNumId w:val="138"/>
  </w:num>
  <w:num w:numId="109">
    <w:abstractNumId w:val="189"/>
  </w:num>
  <w:num w:numId="110">
    <w:abstractNumId w:val="106"/>
  </w:num>
  <w:num w:numId="111">
    <w:abstractNumId w:val="158"/>
  </w:num>
  <w:num w:numId="112">
    <w:abstractNumId w:val="202"/>
  </w:num>
  <w:num w:numId="113">
    <w:abstractNumId w:val="109"/>
  </w:num>
  <w:num w:numId="114">
    <w:abstractNumId w:val="126"/>
  </w:num>
  <w:num w:numId="115">
    <w:abstractNumId w:val="188"/>
  </w:num>
  <w:num w:numId="116">
    <w:abstractNumId w:val="135"/>
  </w:num>
  <w:num w:numId="117">
    <w:abstractNumId w:val="225"/>
  </w:num>
  <w:num w:numId="118">
    <w:abstractNumId w:val="175"/>
  </w:num>
  <w:num w:numId="119">
    <w:abstractNumId w:val="119"/>
  </w:num>
  <w:num w:numId="120">
    <w:abstractNumId w:val="97"/>
  </w:num>
  <w:num w:numId="121">
    <w:abstractNumId w:val="168"/>
  </w:num>
  <w:num w:numId="122">
    <w:abstractNumId w:val="211"/>
  </w:num>
  <w:num w:numId="123">
    <w:abstractNumId w:val="169"/>
  </w:num>
  <w:num w:numId="124">
    <w:abstractNumId w:val="117"/>
  </w:num>
  <w:num w:numId="125">
    <w:abstractNumId w:val="123"/>
  </w:num>
  <w:num w:numId="126">
    <w:abstractNumId w:val="176"/>
  </w:num>
  <w:num w:numId="127">
    <w:abstractNumId w:val="209"/>
  </w:num>
  <w:num w:numId="128">
    <w:abstractNumId w:val="221"/>
  </w:num>
  <w:num w:numId="129">
    <w:abstractNumId w:val="198"/>
  </w:num>
  <w:num w:numId="130">
    <w:abstractNumId w:val="120"/>
  </w:num>
  <w:num w:numId="131">
    <w:abstractNumId w:val="201"/>
  </w:num>
  <w:num w:numId="132">
    <w:abstractNumId w:val="195"/>
  </w:num>
  <w:num w:numId="133">
    <w:abstractNumId w:val="215"/>
  </w:num>
  <w:num w:numId="134">
    <w:abstractNumId w:val="183"/>
  </w:num>
  <w:num w:numId="135">
    <w:abstractNumId w:val="228"/>
  </w:num>
  <w:num w:numId="136">
    <w:abstractNumId w:val="180"/>
  </w:num>
  <w:num w:numId="137">
    <w:abstractNumId w:val="96"/>
  </w:num>
  <w:num w:numId="138">
    <w:abstractNumId w:val="101"/>
  </w:num>
  <w:num w:numId="139">
    <w:abstractNumId w:val="148"/>
  </w:num>
  <w:num w:numId="140">
    <w:abstractNumId w:val="234"/>
  </w:num>
  <w:num w:numId="141">
    <w:abstractNumId w:val="163"/>
  </w:num>
  <w:num w:numId="142">
    <w:abstractNumId w:val="130"/>
  </w:num>
  <w:num w:numId="143">
    <w:abstractNumId w:val="231"/>
  </w:num>
  <w:num w:numId="144">
    <w:abstractNumId w:val="205"/>
  </w:num>
  <w:num w:numId="145">
    <w:abstractNumId w:val="100"/>
  </w:num>
  <w:num w:numId="146">
    <w:abstractNumId w:val="143"/>
  </w:num>
  <w:num w:numId="147">
    <w:abstractNumId w:val="223"/>
  </w:num>
  <w:num w:numId="148">
    <w:abstractNumId w:val="232"/>
  </w:num>
  <w:num w:numId="149">
    <w:abstractNumId w:val="154"/>
  </w:num>
  <w:num w:numId="150">
    <w:abstractNumId w:val="147"/>
  </w:num>
  <w:num w:numId="151">
    <w:abstractNumId w:val="150"/>
  </w:num>
  <w:num w:numId="152">
    <w:abstractNumId w:val="113"/>
  </w:num>
  <w:num w:numId="153">
    <w:abstractNumId w:val="172"/>
  </w:num>
  <w:num w:numId="154">
    <w:abstractNumId w:val="227"/>
  </w:num>
  <w:num w:numId="155">
    <w:abstractNumId w:val="133"/>
  </w:num>
  <w:num w:numId="156">
    <w:abstractNumId w:val="235"/>
  </w:num>
  <w:num w:numId="157">
    <w:abstractNumId w:val="115"/>
  </w:num>
  <w:num w:numId="158">
    <w:abstractNumId w:val="222"/>
  </w:num>
  <w:num w:numId="159">
    <w:abstractNumId w:val="178"/>
  </w:num>
  <w:num w:numId="160">
    <w:abstractNumId w:val="203"/>
  </w:num>
  <w:num w:numId="161">
    <w:abstractNumId w:val="159"/>
  </w:num>
  <w:num w:numId="162">
    <w:abstractNumId w:val="217"/>
  </w:num>
  <w:num w:numId="163">
    <w:abstractNumId w:val="164"/>
  </w:num>
  <w:num w:numId="164">
    <w:abstractNumId w:val="129"/>
  </w:num>
  <w:num w:numId="165">
    <w:abstractNumId w:val="103"/>
  </w:num>
  <w:num w:numId="166">
    <w:abstractNumId w:val="233"/>
  </w:num>
  <w:num w:numId="167">
    <w:abstractNumId w:val="219"/>
  </w:num>
  <w:num w:numId="168">
    <w:abstractNumId w:val="134"/>
  </w:num>
  <w:num w:numId="169">
    <w:abstractNumId w:val="229"/>
  </w:num>
  <w:num w:numId="170">
    <w:abstractNumId w:val="193"/>
  </w:num>
  <w:num w:numId="171">
    <w:abstractNumId w:val="226"/>
  </w:num>
  <w:num w:numId="172">
    <w:abstractNumId w:val="208"/>
  </w:num>
  <w:num w:numId="173">
    <w:abstractNumId w:val="191"/>
  </w:num>
  <w:num w:numId="174">
    <w:abstractNumId w:val="144"/>
  </w:num>
  <w:num w:numId="175">
    <w:abstractNumId w:val="108"/>
  </w:num>
  <w:num w:numId="176">
    <w:abstractNumId w:val="98"/>
  </w:num>
  <w:num w:numId="177">
    <w:abstractNumId w:val="206"/>
  </w:num>
  <w:num w:numId="178">
    <w:abstractNumId w:val="156"/>
  </w:num>
  <w:num w:numId="179">
    <w:abstractNumId w:val="207"/>
  </w:num>
  <w:num w:numId="180">
    <w:abstractNumId w:val="194"/>
  </w:num>
  <w:num w:numId="181">
    <w:abstractNumId w:val="149"/>
  </w:num>
  <w:num w:numId="182">
    <w:abstractNumId w:val="94"/>
  </w:num>
  <w:num w:numId="183">
    <w:abstractNumId w:val="131"/>
  </w:num>
  <w:num w:numId="184">
    <w:abstractNumId w:val="214"/>
  </w:num>
  <w:num w:numId="185">
    <w:abstractNumId w:val="184"/>
  </w:num>
  <w:num w:numId="186">
    <w:abstractNumId w:val="220"/>
  </w:num>
  <w:num w:numId="187">
    <w:abstractNumId w:val="161"/>
  </w:num>
  <w:num w:numId="188">
    <w:abstractNumId w:val="136"/>
  </w:num>
  <w:num w:numId="189">
    <w:abstractNumId w:val="174"/>
  </w:num>
  <w:num w:numId="190">
    <w:abstractNumId w:val="165"/>
  </w:num>
  <w:num w:numId="191">
    <w:abstractNumId w:val="177"/>
  </w:num>
  <w:num w:numId="192">
    <w:abstractNumId w:val="160"/>
  </w:num>
  <w:num w:numId="193">
    <w:abstractNumId w:val="186"/>
  </w:num>
  <w:num w:numId="194">
    <w:abstractNumId w:val="212"/>
  </w:num>
  <w:num w:numId="195">
    <w:abstractNumId w:val="99"/>
  </w:num>
  <w:num w:numId="196">
    <w:abstractNumId w:val="104"/>
  </w:num>
  <w:num w:numId="197">
    <w:abstractNumId w:val="230"/>
  </w:num>
  <w:num w:numId="198">
    <w:abstractNumId w:val="124"/>
  </w:num>
  <w:num w:numId="199">
    <w:abstractNumId w:val="196"/>
  </w:num>
  <w:num w:numId="200">
    <w:abstractNumId w:val="121"/>
  </w:num>
  <w:num w:numId="201">
    <w:abstractNumId w:val="145"/>
  </w:num>
  <w:num w:numId="202">
    <w:abstractNumId w:val="204"/>
  </w:num>
  <w:num w:numId="203">
    <w:abstractNumId w:val="155"/>
  </w:num>
  <w:num w:numId="204">
    <w:abstractNumId w:val="107"/>
  </w:num>
  <w:num w:numId="205">
    <w:abstractNumId w:val="114"/>
  </w:num>
  <w:num w:numId="206">
    <w:abstractNumId w:val="152"/>
  </w:num>
  <w:num w:numId="207">
    <w:abstractNumId w:val="0"/>
  </w:num>
  <w:num w:numId="208">
    <w:abstractNumId w:val="125"/>
  </w:num>
  <w:num w:numId="209">
    <w:abstractNumId w:val="216"/>
  </w:num>
  <w:num w:numId="210">
    <w:abstractNumId w:val="210"/>
  </w:num>
  <w:num w:numId="211">
    <w:abstractNumId w:val="200"/>
  </w:num>
  <w:num w:numId="212">
    <w:abstractNumId w:val="162"/>
  </w:num>
  <w:num w:numId="213">
    <w:abstractNumId w:val="170"/>
  </w:num>
  <w:num w:numId="214">
    <w:abstractNumId w:val="102"/>
  </w:num>
  <w:num w:numId="215">
    <w:abstractNumId w:val="171"/>
  </w:num>
  <w:num w:numId="216">
    <w:abstractNumId w:val="187"/>
  </w:num>
  <w:num w:numId="217">
    <w:abstractNumId w:val="95"/>
  </w:num>
  <w:num w:numId="218">
    <w:abstractNumId w:val="153"/>
  </w:num>
  <w:num w:numId="219">
    <w:abstractNumId w:val="173"/>
  </w:num>
  <w:num w:numId="220">
    <w:abstractNumId w:val="140"/>
  </w:num>
  <w:num w:numId="221">
    <w:abstractNumId w:val="218"/>
  </w:num>
  <w:num w:numId="222">
    <w:abstractNumId w:val="105"/>
  </w:num>
  <w:num w:numId="223">
    <w:abstractNumId w:val="122"/>
  </w:num>
  <w:num w:numId="224">
    <w:abstractNumId w:val="166"/>
  </w:num>
  <w:num w:numId="225">
    <w:abstractNumId w:val="118"/>
  </w:num>
  <w:num w:numId="226">
    <w:abstractNumId w:val="182"/>
  </w:num>
  <w:num w:numId="227">
    <w:abstractNumId w:val="213"/>
  </w:num>
  <w:num w:numId="228">
    <w:abstractNumId w:val="127"/>
  </w:num>
  <w:num w:numId="229">
    <w:abstractNumId w:val="199"/>
    <w:lvlOverride w:ilvl="0">
      <w:startOverride w:val="1"/>
    </w:lvlOverride>
    <w:lvlOverride w:ilvl="1"/>
    <w:lvlOverride w:ilvl="2"/>
    <w:lvlOverride w:ilvl="3"/>
    <w:lvlOverride w:ilvl="4"/>
    <w:lvlOverride w:ilvl="5"/>
    <w:lvlOverride w:ilvl="6"/>
    <w:lvlOverride w:ilvl="7"/>
    <w:lvlOverride w:ilvl="8"/>
  </w:num>
  <w:num w:numId="230">
    <w:abstractNumId w:val="137"/>
  </w:num>
  <w:num w:numId="231">
    <w:abstractNumId w:val="167"/>
  </w:num>
  <w:num w:numId="232">
    <w:abstractNumId w:val="179"/>
  </w:num>
  <w:num w:numId="233">
    <w:abstractNumId w:val="157"/>
  </w:num>
  <w:num w:numId="234">
    <w:abstractNumId w:val="0"/>
  </w:num>
  <w:num w:numId="235">
    <w:abstractNumId w:val="0"/>
  </w:num>
  <w:num w:numId="236">
    <w:abstractNumId w:val="0"/>
  </w:num>
  <w:num w:numId="237">
    <w:abstractNumId w:val="185"/>
  </w:num>
  <w:num w:numId="238">
    <w:abstractNumId w:val="192"/>
  </w:num>
  <w:num w:numId="239">
    <w:abstractNumId w:val="181"/>
  </w:num>
  <w:num w:numId="240">
    <w:abstractNumId w:val="146"/>
  </w:num>
  <w:num w:numId="241">
    <w:abstractNumId w:val="0"/>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gNum" w:val="1"/>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Titre1">
    <w:name w:val="heading 1"/>
    <w:basedOn w:val="Normal"/>
    <w:next w:val="Corpsdetexte"/>
    <w:link w:val="Titre1Car"/>
    <w:qFormat/>
    <w:pPr>
      <w:keepNext/>
      <w:keepLines/>
      <w:numPr>
        <w:numId w:val="1"/>
      </w:numPr>
      <w:spacing w:before="480" w:after="0"/>
      <w:outlineLvl w:val="0"/>
    </w:pPr>
    <w:rPr>
      <w:rFonts w:ascii="Times New Roman" w:hAnsi="Times New Roman" w:cs="font218"/>
      <w:b/>
      <w:bCs/>
      <w:sz w:val="24"/>
      <w:szCs w:val="28"/>
    </w:rPr>
  </w:style>
  <w:style w:type="paragraph" w:styleId="Titre3">
    <w:name w:val="heading 3"/>
    <w:basedOn w:val="Normal"/>
    <w:next w:val="Normal"/>
    <w:link w:val="Titre3C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fr-FR"/>
    </w:rPr>
  </w:style>
  <w:style w:type="character" w:customStyle="1" w:styleId="CommentSubjectChar">
    <w:name w:val="Comment Subject Char"/>
    <w:rPr>
      <w:b/>
      <w:bCs/>
      <w:lang w:val="fr-FR"/>
    </w:rPr>
  </w:style>
  <w:style w:type="character" w:styleId="Lienhypertexte">
    <w:name w:val="Hyperlink"/>
    <w:uiPriority w:val="99"/>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En-tte">
    <w:name w:val="header"/>
    <w:basedOn w:val="Normal"/>
    <w:pPr>
      <w:suppressLineNumbers/>
      <w:tabs>
        <w:tab w:val="center" w:pos="4536"/>
        <w:tab w:val="right" w:pos="9072"/>
      </w:tabs>
    </w:pPr>
  </w:style>
  <w:style w:type="paragraph" w:styleId="Pieddepage">
    <w:name w:val="footer"/>
    <w:basedOn w:val="Normal"/>
    <w:uiPriority w:val="99"/>
    <w:pPr>
      <w:suppressLineNumbers/>
      <w:tabs>
        <w:tab w:val="center" w:pos="4536"/>
        <w:tab w:val="right" w:pos="9072"/>
      </w:tabs>
    </w:pPr>
  </w:style>
  <w:style w:type="paragraph" w:styleId="Textedebulles">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Paragraphedeliste">
    <w:name w:val="List Paragraph"/>
    <w:basedOn w:val="Normal"/>
    <w:link w:val="ParagraphedelisteCar"/>
    <w:uiPriority w:val="34"/>
    <w:qFormat/>
    <w:pPr>
      <w:spacing w:after="0" w:line="100" w:lineRule="atLeast"/>
      <w:ind w:left="720"/>
    </w:pPr>
    <w:rPr>
      <w:rFonts w:ascii="Times New Roman" w:eastAsia="SimSun" w:hAnsi="Times New Roman" w:cs="Calibri"/>
      <w:b/>
      <w:sz w:val="24"/>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vision">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epuces">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epuces2">
    <w:name w:val="List Bullet 2"/>
    <w:basedOn w:val="Normal"/>
    <w:pPr>
      <w:spacing w:after="240" w:line="100" w:lineRule="atLeast"/>
      <w:jc w:val="both"/>
    </w:pPr>
    <w:rPr>
      <w:rFonts w:ascii="Times New Roman" w:eastAsia="Times New Roman" w:hAnsi="Times New Roman"/>
      <w:sz w:val="24"/>
      <w:szCs w:val="20"/>
    </w:rPr>
  </w:style>
  <w:style w:type="paragraph" w:styleId="Listepuces3">
    <w:name w:val="List Bullet 3"/>
    <w:basedOn w:val="Normal"/>
    <w:pPr>
      <w:spacing w:after="240" w:line="100" w:lineRule="atLeast"/>
      <w:jc w:val="both"/>
    </w:pPr>
    <w:rPr>
      <w:rFonts w:ascii="Times New Roman" w:eastAsia="Times New Roman" w:hAnsi="Times New Roman"/>
      <w:sz w:val="24"/>
      <w:szCs w:val="20"/>
    </w:rPr>
  </w:style>
  <w:style w:type="paragraph" w:styleId="Listepuces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enumros">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M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Notedebasdepage">
    <w:name w:val="footnote text"/>
    <w:basedOn w:val="Normal"/>
    <w:pPr>
      <w:suppressLineNumbers/>
      <w:ind w:left="283" w:hanging="283"/>
    </w:pPr>
    <w:rPr>
      <w:sz w:val="20"/>
      <w:szCs w:val="20"/>
    </w:rPr>
  </w:style>
  <w:style w:type="character" w:styleId="Marquedecommentaire">
    <w:name w:val="annotation reference"/>
    <w:uiPriority w:val="99"/>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link w:val="Commentaire"/>
    <w:uiPriority w:val="99"/>
    <w:rPr>
      <w:rFonts w:ascii="Calibri" w:eastAsia="Calibri" w:hAnsi="Calibri"/>
      <w:lang w:eastAsia="ar-SA"/>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rFonts w:ascii="Calibri" w:eastAsia="Calibri" w:hAnsi="Calibri"/>
      <w:b/>
      <w:bCs/>
      <w:lang w:eastAsia="ar-SA"/>
    </w:rPr>
  </w:style>
  <w:style w:type="paragraph" w:styleId="En-ttedetabledesmatires">
    <w:name w:val="TOC Heading"/>
    <w:basedOn w:val="Titre1"/>
    <w:next w:val="Normal"/>
    <w:uiPriority w:val="39"/>
    <w:unhideWhenUsed/>
    <w:qFormat/>
    <w:pPr>
      <w:numPr>
        <w:numId w:val="0"/>
      </w:numPr>
      <w:suppressAutoHyphens w:val="0"/>
      <w:spacing w:before="240" w:line="259" w:lineRule="auto"/>
      <w:outlineLvl w:val="9"/>
    </w:pPr>
    <w:rPr>
      <w:rFonts w:eastAsiaTheme="majorEastAsia" w:cstheme="majorBidi"/>
      <w:b w:val="0"/>
      <w:bCs w:val="0"/>
      <w:szCs w:val="32"/>
      <w:lang w:eastAsia="en-US"/>
    </w:rPr>
  </w:style>
  <w:style w:type="paragraph" w:styleId="TM1">
    <w:name w:val="toc 1"/>
    <w:basedOn w:val="Normal"/>
    <w:next w:val="Normal"/>
    <w:autoRedefine/>
    <w:uiPriority w:val="39"/>
    <w:unhideWhenUsed/>
    <w:pPr>
      <w:tabs>
        <w:tab w:val="right" w:leader="dot" w:pos="8630"/>
      </w:tabs>
      <w:spacing w:after="100"/>
      <w:outlineLvl w:val="2"/>
    </w:pPr>
  </w:style>
  <w:style w:type="character" w:customStyle="1" w:styleId="Titre3Car">
    <w:name w:val="Titre 3 Car"/>
    <w:basedOn w:val="Policepardfaut"/>
    <w:link w:val="Titre3"/>
    <w:uiPriority w:val="9"/>
    <w:semiHidden/>
    <w:rPr>
      <w:rFonts w:asciiTheme="majorHAnsi" w:eastAsiaTheme="majorEastAsia" w:hAnsiTheme="majorHAnsi" w:cstheme="majorBidi"/>
      <w:color w:val="1F4D78" w:themeColor="accent1" w:themeShade="7F"/>
      <w:sz w:val="24"/>
      <w:szCs w:val="24"/>
      <w:lang w:eastAsia="ar-SA"/>
    </w:rPr>
  </w:style>
  <w:style w:type="paragraph" w:customStyle="1" w:styleId="Heading21">
    <w:name w:val="Heading 21"/>
    <w:basedOn w:val="Titre1"/>
    <w:link w:val="heading2Char"/>
    <w:qFormat/>
    <w:pPr>
      <w:numPr>
        <w:numId w:val="0"/>
      </w:numPr>
    </w:pPr>
  </w:style>
  <w:style w:type="paragraph" w:customStyle="1" w:styleId="Heading41">
    <w:name w:val="Heading 41"/>
    <w:basedOn w:val="Normal"/>
    <w:link w:val="heading4Char"/>
    <w:qFormat/>
    <w:pPr>
      <w:tabs>
        <w:tab w:val="left" w:pos="851"/>
      </w:tabs>
      <w:jc w:val="both"/>
    </w:pPr>
    <w:rPr>
      <w:rFonts w:ascii="Times New Roman" w:hAnsi="Times New Roman"/>
      <w:b/>
      <w:sz w:val="24"/>
      <w:szCs w:val="24"/>
      <w:u w:val="single"/>
      <w:shd w:val="clear" w:color="auto" w:fill="00FFFF"/>
    </w:rPr>
  </w:style>
  <w:style w:type="character" w:customStyle="1" w:styleId="Titre1Car">
    <w:name w:val="Titre 1 Car"/>
    <w:basedOn w:val="Policepardfaut"/>
    <w:link w:val="Titre1"/>
    <w:rPr>
      <w:rFonts w:eastAsia="Calibri" w:cs="font218"/>
      <w:b/>
      <w:bCs/>
      <w:sz w:val="24"/>
      <w:szCs w:val="28"/>
      <w:lang w:eastAsia="ar-SA"/>
    </w:rPr>
  </w:style>
  <w:style w:type="character" w:customStyle="1" w:styleId="heading2Char">
    <w:name w:val="heading 2 Char"/>
    <w:basedOn w:val="Titre1Car"/>
    <w:link w:val="Heading21"/>
    <w:rPr>
      <w:rFonts w:eastAsia="Calibri" w:cs="font218"/>
      <w:b/>
      <w:bCs/>
      <w:sz w:val="24"/>
      <w:szCs w:val="28"/>
      <w:lang w:val="fr-FR" w:eastAsia="ar-SA"/>
    </w:rPr>
  </w:style>
  <w:style w:type="paragraph" w:customStyle="1" w:styleId="Heading31">
    <w:name w:val="Heading 31"/>
    <w:basedOn w:val="Paragraphedeliste"/>
    <w:link w:val="heading3Char"/>
    <w:qFormat/>
    <w:pPr>
      <w:numPr>
        <w:numId w:val="95"/>
      </w:numPr>
      <w:tabs>
        <w:tab w:val="left" w:pos="426"/>
      </w:tabs>
      <w:ind w:left="1366" w:hanging="1366"/>
      <w:jc w:val="both"/>
      <w:outlineLvl w:val="2"/>
    </w:pPr>
    <w:rPr>
      <w:rFonts w:eastAsia="Calibri" w:cs="Times New Roman"/>
      <w:b w:val="0"/>
      <w:szCs w:val="24"/>
    </w:rPr>
  </w:style>
  <w:style w:type="character" w:customStyle="1" w:styleId="heading4Char">
    <w:name w:val="heading 4 Char"/>
    <w:basedOn w:val="Policepardfaut"/>
    <w:link w:val="Heading41"/>
    <w:rPr>
      <w:rFonts w:eastAsia="Calibri"/>
      <w:b/>
      <w:sz w:val="24"/>
      <w:szCs w:val="24"/>
      <w:u w:val="single"/>
      <w:lang w:eastAsia="ar-SA"/>
    </w:rPr>
  </w:style>
  <w:style w:type="character" w:customStyle="1" w:styleId="ParagraphedelisteCar">
    <w:name w:val="Paragraphe de liste Car"/>
    <w:basedOn w:val="Policepardfaut"/>
    <w:link w:val="Paragraphedeliste"/>
    <w:uiPriority w:val="34"/>
    <w:rPr>
      <w:rFonts w:eastAsia="SimSun" w:cs="Calibri"/>
      <w:b/>
      <w:sz w:val="24"/>
      <w:szCs w:val="22"/>
      <w:lang w:eastAsia="ar-SA"/>
    </w:rPr>
  </w:style>
  <w:style w:type="character" w:customStyle="1" w:styleId="heading3Char">
    <w:name w:val="heading 3 Char"/>
    <w:basedOn w:val="ParagraphedelisteCar"/>
    <w:link w:val="Heading31"/>
    <w:rPr>
      <w:rFonts w:eastAsia="Calibri" w:cs="Calibri"/>
      <w:b w:val="0"/>
      <w:sz w:val="24"/>
      <w:szCs w:val="24"/>
      <w:lang w:eastAsia="ar-SA"/>
    </w:rPr>
  </w:style>
  <w:style w:type="character" w:styleId="Lienhypertextesuivivisit">
    <w:name w:val="FollowedHyperlink"/>
    <w:basedOn w:val="Policepardfaut"/>
    <w:uiPriority w:val="99"/>
    <w:semiHidden/>
    <w:unhideWhenUsed/>
    <w:rPr>
      <w:color w:val="954F72" w:themeColor="followedHyperlink"/>
      <w:u w:val="single"/>
    </w:rPr>
  </w:style>
  <w:style w:type="paragraph" w:styleId="TM3">
    <w:name w:val="toc 3"/>
    <w:basedOn w:val="Normal"/>
    <w:next w:val="Normal"/>
    <w:autoRedefine/>
    <w:uiPriority w:val="39"/>
    <w:unhideWhenUsed/>
    <w:pPr>
      <w:tabs>
        <w:tab w:val="right" w:leader="dot" w:pos="8630"/>
      </w:tabs>
      <w:spacing w:after="100"/>
      <w:ind w:left="1440"/>
    </w:pPr>
  </w:style>
  <w:style w:type="character" w:customStyle="1" w:styleId="Heading2Char0">
    <w:name w:val="Heading 2 Char"/>
    <w:basedOn w:val="Policepardfaut"/>
    <w:rPr>
      <w:b/>
      <w:bCs/>
      <w:sz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 w:id="118037327">
      <w:bodyDiv w:val="1"/>
      <w:marLeft w:val="0"/>
      <w:marRight w:val="0"/>
      <w:marTop w:val="0"/>
      <w:marBottom w:val="0"/>
      <w:divBdr>
        <w:top w:val="none" w:sz="0" w:space="0" w:color="auto"/>
        <w:left w:val="none" w:sz="0" w:space="0" w:color="auto"/>
        <w:bottom w:val="none" w:sz="0" w:space="0" w:color="auto"/>
        <w:right w:val="none" w:sz="0" w:space="0" w:color="auto"/>
      </w:divBdr>
    </w:div>
    <w:div w:id="118651992">
      <w:bodyDiv w:val="1"/>
      <w:marLeft w:val="0"/>
      <w:marRight w:val="0"/>
      <w:marTop w:val="0"/>
      <w:marBottom w:val="0"/>
      <w:divBdr>
        <w:top w:val="none" w:sz="0" w:space="0" w:color="auto"/>
        <w:left w:val="none" w:sz="0" w:space="0" w:color="auto"/>
        <w:bottom w:val="none" w:sz="0" w:space="0" w:color="auto"/>
        <w:right w:val="none" w:sz="0" w:space="0" w:color="auto"/>
      </w:divBdr>
    </w:div>
    <w:div w:id="670524792">
      <w:bodyDiv w:val="1"/>
      <w:marLeft w:val="0"/>
      <w:marRight w:val="0"/>
      <w:marTop w:val="0"/>
      <w:marBottom w:val="0"/>
      <w:divBdr>
        <w:top w:val="none" w:sz="0" w:space="0" w:color="auto"/>
        <w:left w:val="none" w:sz="0" w:space="0" w:color="auto"/>
        <w:bottom w:val="none" w:sz="0" w:space="0" w:color="auto"/>
        <w:right w:val="none" w:sz="0" w:space="0" w:color="auto"/>
      </w:divBdr>
    </w:div>
    <w:div w:id="877935542">
      <w:bodyDiv w:val="1"/>
      <w:marLeft w:val="0"/>
      <w:marRight w:val="0"/>
      <w:marTop w:val="0"/>
      <w:marBottom w:val="0"/>
      <w:divBdr>
        <w:top w:val="none" w:sz="0" w:space="0" w:color="auto"/>
        <w:left w:val="none" w:sz="0" w:space="0" w:color="auto"/>
        <w:bottom w:val="none" w:sz="0" w:space="0" w:color="auto"/>
        <w:right w:val="none" w:sz="0" w:space="0" w:color="auto"/>
      </w:divBdr>
    </w:div>
    <w:div w:id="1119034601">
      <w:bodyDiv w:val="1"/>
      <w:marLeft w:val="0"/>
      <w:marRight w:val="0"/>
      <w:marTop w:val="0"/>
      <w:marBottom w:val="0"/>
      <w:divBdr>
        <w:top w:val="none" w:sz="0" w:space="0" w:color="auto"/>
        <w:left w:val="none" w:sz="0" w:space="0" w:color="auto"/>
        <w:bottom w:val="none" w:sz="0" w:space="0" w:color="auto"/>
        <w:right w:val="none" w:sz="0" w:space="0" w:color="auto"/>
      </w:divBdr>
      <w:divsChild>
        <w:div w:id="1268732996">
          <w:marLeft w:val="0"/>
          <w:marRight w:val="0"/>
          <w:marTop w:val="0"/>
          <w:marBottom w:val="0"/>
          <w:divBdr>
            <w:top w:val="none" w:sz="0" w:space="0" w:color="auto"/>
            <w:left w:val="none" w:sz="0" w:space="0" w:color="auto"/>
            <w:bottom w:val="none" w:sz="0" w:space="0" w:color="auto"/>
            <w:right w:val="none" w:sz="0" w:space="0" w:color="auto"/>
          </w:divBdr>
          <w:divsChild>
            <w:div w:id="20664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7968">
      <w:bodyDiv w:val="1"/>
      <w:marLeft w:val="0"/>
      <w:marRight w:val="0"/>
      <w:marTop w:val="0"/>
      <w:marBottom w:val="0"/>
      <w:divBdr>
        <w:top w:val="none" w:sz="0" w:space="0" w:color="auto"/>
        <w:left w:val="none" w:sz="0" w:space="0" w:color="auto"/>
        <w:bottom w:val="none" w:sz="0" w:space="0" w:color="auto"/>
        <w:right w:val="none" w:sz="0" w:space="0" w:color="auto"/>
      </w:divBdr>
      <w:divsChild>
        <w:div w:id="811558738">
          <w:marLeft w:val="0"/>
          <w:marRight w:val="0"/>
          <w:marTop w:val="0"/>
          <w:marBottom w:val="0"/>
          <w:divBdr>
            <w:top w:val="none" w:sz="0" w:space="0" w:color="auto"/>
            <w:left w:val="none" w:sz="0" w:space="0" w:color="auto"/>
            <w:bottom w:val="none" w:sz="0" w:space="0" w:color="auto"/>
            <w:right w:val="none" w:sz="0" w:space="0" w:color="auto"/>
          </w:divBdr>
          <w:divsChild>
            <w:div w:id="11385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(master files)</Document>
    <Year xmlns="cfd06d9f-862c-4359-9a69-c66ff689f26a">2022</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2.xml><?xml version="1.0" encoding="utf-8"?>
<ds:datastoreItem xmlns:ds="http://schemas.openxmlformats.org/officeDocument/2006/customXml" ds:itemID="{97B42EB2-59AA-47DD-AB16-3804D356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4.xml><?xml version="1.0" encoding="utf-8"?>
<ds:datastoreItem xmlns:ds="http://schemas.openxmlformats.org/officeDocument/2006/customXml" ds:itemID="{D7CB7347-8B41-4A5B-AEAA-1F3B2408C5EC}">
  <ds:schemaRef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metadata/properties"/>
    <ds:schemaRef ds:uri="http://purl.org/dc/terms/"/>
    <ds:schemaRef ds:uri="cfd06d9f-862c-4359-9a69-c66ff689f26a"/>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93DA20D3-FD80-4BA6-B5BC-30F39D3B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1998</Words>
  <Characters>10995</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12968</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B4</dc:creator>
  <cp:keywords>GRANT AGREEMENT</cp:keywords>
  <dc:description/>
  <cp:lastModifiedBy>DEMEUTER Anne</cp:lastModifiedBy>
  <cp:revision>2</cp:revision>
  <cp:lastPrinted>2019-02-08T13:27:00Z</cp:lastPrinted>
  <dcterms:created xsi:type="dcterms:W3CDTF">2023-01-23T10:59:00Z</dcterms:created>
  <dcterms:modified xsi:type="dcterms:W3CDTF">2023-01-23T10:59:00Z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y fmtid="{D5CDD505-2E9C-101B-9397-08002B2CF9AE}" pid="17" name="ContentTypeId">
    <vt:lpwstr>0x010100258AA79CEB83498886A3A0868112325000C1490CE060273747A60689B6E70012AE</vt:lpwstr>
  </property>
</Properties>
</file>