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rFonts w:ascii="Times New Roman" w:hAnsi="Times New Roman"/>
          <w:b/>
          <w:bCs/>
          <w:sz w:val="24"/>
          <w:szCs w:val="24"/>
        </w:rPr>
        <w:t xml:space="preserve">ANNEX III – FINANCIAL AND CONTRACTUAL RULES </w:t>
      </w:r>
    </w:p>
    <w:p>
      <w:pPr>
        <w:pStyle w:val="Listepuces"/>
        <w:jc w:val="center"/>
        <w:rPr>
          <w:b/>
          <w:bCs/>
          <w:shd w:val="clear" w:color="auto" w:fill="FFFF00"/>
        </w:rPr>
      </w:pPr>
      <w:r>
        <w:rPr>
          <w:highlight w:val="lightGray"/>
          <w:shd w:val="clear" w:color="auto" w:fill="FFFF00"/>
        </w:rPr>
        <w:t xml:space="preserve">This Annex refers to </w:t>
      </w:r>
      <w:r>
        <w:rPr>
          <w:b/>
          <w:bCs/>
          <w:highlight w:val="lightGray"/>
          <w:shd w:val="clear" w:color="auto" w:fill="FFFF00"/>
        </w:rPr>
        <w:t>Key Action 1</w:t>
      </w:r>
      <w:r>
        <w:rPr>
          <w:highlight w:val="lightGray"/>
          <w:shd w:val="clear" w:color="auto" w:fill="FFFF00"/>
        </w:rPr>
        <w:t xml:space="preserve"> –youth</w:t>
      </w:r>
      <w:bookmarkStart w:id="0" w:name="_GoBack"/>
      <w:bookmarkEnd w:id="0"/>
    </w:p>
    <w:p/>
    <w:p/>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pPr>
            <w:pStyle w:val="En-ttedetabledesmatires"/>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List of contents </w:t>
          </w:r>
        </w:p>
        <w:p>
          <w:pPr>
            <w:pStyle w:val="TM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Pr>
                <w:rStyle w:val="Lienhypertexte"/>
                <w:noProof/>
              </w:rPr>
              <w:t>I.</w:t>
            </w:r>
            <w:r>
              <w:rPr>
                <w:rFonts w:asciiTheme="minorHAnsi" w:eastAsiaTheme="minorEastAsia" w:hAnsiTheme="minorHAnsi" w:cstheme="minorBidi"/>
                <w:caps w:val="0"/>
                <w:noProof/>
                <w:sz w:val="22"/>
                <w:szCs w:val="22"/>
                <w:lang w:eastAsia="en-GB"/>
              </w:rPr>
              <w:tab/>
            </w:r>
            <w:r>
              <w:rPr>
                <w:rStyle w:val="Lienhypertexte"/>
                <w:noProof/>
              </w:rPr>
              <w:t>RULES APPLICABLE TO BUDGET CATEGORIES BASED ON UNIT CONTRIBUTIONS</w:t>
            </w:r>
            <w:r>
              <w:rPr>
                <w:noProof/>
                <w:webHidden/>
              </w:rPr>
              <w:tab/>
            </w:r>
            <w:r>
              <w:rPr>
                <w:noProof/>
                <w:webHidden/>
              </w:rPr>
              <w:fldChar w:fldCharType="begin"/>
            </w:r>
            <w:r>
              <w:rPr>
                <w:noProof/>
                <w:webHidden/>
              </w:rPr>
              <w:instrText xml:space="preserve"> PAGEREF _Toc72322254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5" w:history="1">
            <w:r>
              <w:rPr>
                <w:rStyle w:val="Lienhypertexte"/>
                <w:noProof/>
                <w:lang w:val="en-US"/>
              </w:rPr>
              <w:t>II.</w:t>
            </w:r>
            <w:r>
              <w:rPr>
                <w:rFonts w:asciiTheme="minorHAnsi" w:eastAsiaTheme="minorEastAsia" w:hAnsiTheme="minorHAnsi" w:cstheme="minorBidi"/>
                <w:caps w:val="0"/>
                <w:noProof/>
                <w:sz w:val="22"/>
                <w:szCs w:val="22"/>
                <w:lang w:eastAsia="en-GB"/>
              </w:rPr>
              <w:tab/>
            </w:r>
            <w:r>
              <w:rPr>
                <w:rStyle w:val="Lienhypertexte"/>
                <w:noProof/>
              </w:rPr>
              <w:t>RULES APPLICABLE FOR THE BUDGET CATEGORIES BASED ON REIMBURSEMENT OF ACTUAL INCURRED COSTS</w:t>
            </w:r>
            <w:r>
              <w:rPr>
                <w:noProof/>
                <w:webHidden/>
              </w:rPr>
              <w:tab/>
            </w:r>
            <w:r>
              <w:rPr>
                <w:noProof/>
                <w:webHidden/>
              </w:rPr>
              <w:fldChar w:fldCharType="begin"/>
            </w:r>
            <w:r>
              <w:rPr>
                <w:noProof/>
                <w:webHidden/>
              </w:rPr>
              <w:instrText xml:space="preserve"> PAGEREF _Toc72322255 \h </w:instrText>
            </w:r>
            <w:r>
              <w:rPr>
                <w:noProof/>
                <w:webHidden/>
              </w:rPr>
            </w:r>
            <w:r>
              <w:rPr>
                <w:noProof/>
                <w:webHidden/>
              </w:rPr>
              <w:fldChar w:fldCharType="separate"/>
            </w:r>
            <w:r>
              <w:rPr>
                <w:noProof/>
                <w:webHidden/>
              </w:rPr>
              <w:t>17</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6" w:history="1">
            <w:r>
              <w:rPr>
                <w:rStyle w:val="Lienhypertexte"/>
                <w:noProof/>
              </w:rPr>
              <w:t>III.</w:t>
            </w:r>
            <w:r>
              <w:rPr>
                <w:rFonts w:asciiTheme="minorHAnsi" w:eastAsiaTheme="minorEastAsia" w:hAnsiTheme="minorHAnsi" w:cstheme="minorBidi"/>
                <w:caps w:val="0"/>
                <w:noProof/>
                <w:sz w:val="22"/>
                <w:szCs w:val="22"/>
                <w:lang w:eastAsia="en-GB"/>
              </w:rPr>
              <w:tab/>
            </w:r>
            <w:r>
              <w:rPr>
                <w:rStyle w:val="Lienhypertexte"/>
                <w:noProof/>
              </w:rPr>
              <w:t>CONDITIONS OF ELIGIBILITY OF PROJECT ACTIVITIES</w:t>
            </w:r>
            <w:r>
              <w:rPr>
                <w:noProof/>
                <w:webHidden/>
              </w:rPr>
              <w:tab/>
            </w:r>
            <w:r>
              <w:rPr>
                <w:noProof/>
                <w:webHidden/>
              </w:rPr>
              <w:fldChar w:fldCharType="begin"/>
            </w:r>
            <w:r>
              <w:rPr>
                <w:noProof/>
                <w:webHidden/>
              </w:rPr>
              <w:instrText xml:space="preserve"> PAGEREF _Toc72322256 \h </w:instrText>
            </w:r>
            <w:r>
              <w:rPr>
                <w:noProof/>
                <w:webHidden/>
              </w:rPr>
            </w:r>
            <w:r>
              <w:rPr>
                <w:noProof/>
                <w:webHidden/>
              </w:rPr>
              <w:fldChar w:fldCharType="separate"/>
            </w:r>
            <w:r>
              <w:rPr>
                <w:noProof/>
                <w:webHidden/>
              </w:rPr>
              <w:t>21</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7" w:history="1">
            <w:r>
              <w:rPr>
                <w:rStyle w:val="Lienhypertexte"/>
                <w:noProof/>
              </w:rPr>
              <w:t>IV.</w:t>
            </w:r>
            <w:r>
              <w:rPr>
                <w:rFonts w:asciiTheme="minorHAnsi" w:eastAsiaTheme="minorEastAsia" w:hAnsiTheme="minorHAnsi" w:cstheme="minorBidi"/>
                <w:caps w:val="0"/>
                <w:noProof/>
                <w:sz w:val="22"/>
                <w:szCs w:val="22"/>
                <w:lang w:eastAsia="en-GB"/>
              </w:rPr>
              <w:tab/>
            </w:r>
            <w:r>
              <w:rPr>
                <w:rStyle w:val="Lienhypertexte"/>
                <w:noProof/>
              </w:rPr>
              <w:t xml:space="preserve">FINAL REPORT  </w:t>
            </w:r>
            <w:r>
              <w:rPr>
                <w:noProof/>
                <w:webHidden/>
              </w:rPr>
              <w:tab/>
            </w:r>
            <w:r>
              <w:rPr>
                <w:noProof/>
                <w:webHidden/>
              </w:rPr>
              <w:fldChar w:fldCharType="begin"/>
            </w:r>
            <w:r>
              <w:rPr>
                <w:noProof/>
                <w:webHidden/>
              </w:rPr>
              <w:instrText xml:space="preserve"> PAGEREF _Toc72322257 \h </w:instrText>
            </w:r>
            <w:r>
              <w:rPr>
                <w:noProof/>
                <w:webHidden/>
              </w:rPr>
            </w:r>
            <w:r>
              <w:rPr>
                <w:noProof/>
                <w:webHidden/>
              </w:rPr>
              <w:fldChar w:fldCharType="separate"/>
            </w:r>
            <w:r>
              <w:rPr>
                <w:noProof/>
                <w:webHidden/>
              </w:rPr>
              <w:t>22</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8" w:history="1">
            <w:r>
              <w:rPr>
                <w:rStyle w:val="Lienhypertexte"/>
                <w:noProof/>
              </w:rPr>
              <w:t>V.</w:t>
            </w:r>
            <w:r>
              <w:rPr>
                <w:rFonts w:asciiTheme="minorHAnsi" w:eastAsiaTheme="minorEastAsia" w:hAnsiTheme="minorHAnsi" w:cstheme="minorBidi"/>
                <w:caps w:val="0"/>
                <w:noProof/>
                <w:sz w:val="22"/>
                <w:szCs w:val="22"/>
                <w:lang w:eastAsia="en-GB"/>
              </w:rPr>
              <w:tab/>
            </w:r>
            <w:r>
              <w:rPr>
                <w:rStyle w:val="Lienhypertexte"/>
                <w:noProof/>
              </w:rPr>
              <w:t>GRANT REDUCTION FOR POOR, PARTIAL OR LATE IMPLEMENTATION</w:t>
            </w:r>
            <w:r>
              <w:rPr>
                <w:noProof/>
                <w:webHidden/>
              </w:rPr>
              <w:tab/>
            </w:r>
            <w:r>
              <w:rPr>
                <w:noProof/>
                <w:webHidden/>
              </w:rPr>
              <w:fldChar w:fldCharType="begin"/>
            </w:r>
            <w:r>
              <w:rPr>
                <w:noProof/>
                <w:webHidden/>
              </w:rPr>
              <w:instrText xml:space="preserve"> PAGEREF _Toc72322258 \h </w:instrText>
            </w:r>
            <w:r>
              <w:rPr>
                <w:noProof/>
                <w:webHidden/>
              </w:rPr>
            </w:r>
            <w:r>
              <w:rPr>
                <w:noProof/>
                <w:webHidden/>
              </w:rPr>
              <w:fldChar w:fldCharType="separate"/>
            </w:r>
            <w:r>
              <w:rPr>
                <w:noProof/>
                <w:webHidden/>
              </w:rPr>
              <w:t>23</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9" w:history="1">
            <w:r>
              <w:rPr>
                <w:rStyle w:val="Lienhypertexte"/>
                <w:noProof/>
              </w:rPr>
              <w:t>VI.</w:t>
            </w:r>
            <w:r>
              <w:rPr>
                <w:rFonts w:asciiTheme="minorHAnsi" w:eastAsiaTheme="minorEastAsia" w:hAnsiTheme="minorHAnsi" w:cstheme="minorBidi"/>
                <w:caps w:val="0"/>
                <w:noProof/>
                <w:sz w:val="22"/>
                <w:szCs w:val="22"/>
                <w:lang w:eastAsia="en-GB"/>
              </w:rPr>
              <w:tab/>
            </w:r>
            <w:r>
              <w:rPr>
                <w:rStyle w:val="Lienhypertexte"/>
                <w:noProof/>
              </w:rPr>
              <w:t>GRANT MODIFICATIONS</w:t>
            </w:r>
            <w:r>
              <w:rPr>
                <w:noProof/>
                <w:webHidden/>
              </w:rPr>
              <w:tab/>
            </w:r>
            <w:r>
              <w:rPr>
                <w:noProof/>
                <w:webHidden/>
              </w:rPr>
              <w:fldChar w:fldCharType="begin"/>
            </w:r>
            <w:r>
              <w:rPr>
                <w:noProof/>
                <w:webHidden/>
              </w:rPr>
              <w:instrText xml:space="preserve"> PAGEREF _Toc72322259 \h </w:instrText>
            </w:r>
            <w:r>
              <w:rPr>
                <w:noProof/>
                <w:webHidden/>
              </w:rPr>
            </w:r>
            <w:r>
              <w:rPr>
                <w:noProof/>
                <w:webHidden/>
              </w:rPr>
              <w:fldChar w:fldCharType="separate"/>
            </w:r>
            <w:r>
              <w:rPr>
                <w:noProof/>
                <w:webHidden/>
              </w:rPr>
              <w:t>24</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60" w:history="1">
            <w:r>
              <w:rPr>
                <w:rStyle w:val="Lienhypertexte"/>
                <w:noProof/>
              </w:rPr>
              <w:t>VII.</w:t>
            </w:r>
            <w:r>
              <w:rPr>
                <w:rFonts w:asciiTheme="minorHAnsi" w:eastAsiaTheme="minorEastAsia" w:hAnsiTheme="minorHAnsi" w:cstheme="minorBidi"/>
                <w:caps w:val="0"/>
                <w:noProof/>
                <w:sz w:val="22"/>
                <w:szCs w:val="22"/>
                <w:lang w:eastAsia="en-GB"/>
              </w:rPr>
              <w:tab/>
            </w:r>
            <w:r>
              <w:rPr>
                <w:rStyle w:val="Lienhypertexte"/>
                <w:noProof/>
              </w:rPr>
              <w:t>CHECKS OF GRANT BENEFICIARY AND PROVISION OF SUPPORTING DOCUMENTS</w:t>
            </w:r>
            <w:r>
              <w:rPr>
                <w:noProof/>
                <w:webHidden/>
              </w:rPr>
              <w:tab/>
            </w:r>
            <w:r>
              <w:rPr>
                <w:noProof/>
                <w:webHidden/>
              </w:rPr>
              <w:fldChar w:fldCharType="begin"/>
            </w:r>
            <w:r>
              <w:rPr>
                <w:noProof/>
                <w:webHidden/>
              </w:rPr>
              <w:instrText xml:space="preserve"> PAGEREF _Toc72322260 \h </w:instrText>
            </w:r>
            <w:r>
              <w:rPr>
                <w:noProof/>
                <w:webHidden/>
              </w:rPr>
            </w:r>
            <w:r>
              <w:rPr>
                <w:noProof/>
                <w:webHidden/>
              </w:rPr>
              <w:fldChar w:fldCharType="separate"/>
            </w:r>
            <w:r>
              <w:rPr>
                <w:noProof/>
                <w:webHidden/>
              </w:rPr>
              <w:t>25</w:t>
            </w:r>
            <w:r>
              <w:rPr>
                <w:noProof/>
                <w:webHidden/>
              </w:rPr>
              <w:fldChar w:fldCharType="end"/>
            </w:r>
          </w:hyperlink>
        </w:p>
        <w:p>
          <w:r>
            <w:rPr>
              <w:b/>
              <w:bCs/>
              <w:noProof/>
            </w:rPr>
            <w:fldChar w:fldCharType="end"/>
          </w:r>
        </w:p>
      </w:sdtContent>
    </w:sdt>
    <w:p/>
    <w:p>
      <w:pPr>
        <w:suppressAutoHyphens w:val="0"/>
        <w:spacing w:after="0" w:line="240" w:lineRule="auto"/>
        <w:rPr>
          <w:rFonts w:ascii="Times New Roman" w:hAnsi="Times New Roman"/>
          <w:b/>
          <w:bCs/>
          <w:sz w:val="24"/>
          <w:szCs w:val="28"/>
        </w:rPr>
      </w:pPr>
      <w:bookmarkStart w:id="1" w:name="_Toc72322254"/>
      <w:r>
        <w:br w:type="page"/>
      </w:r>
    </w:p>
    <w:p>
      <w:pPr>
        <w:pStyle w:val="Titre1"/>
        <w:numPr>
          <w:ilvl w:val="0"/>
          <w:numId w:val="125"/>
        </w:numPr>
      </w:pPr>
      <w:r>
        <w:lastRenderedPageBreak/>
        <w:t>RULES APPLICABLE TO BUDGET CATEGORIES BASED ON UNIT CONTRIBUTIONS</w:t>
      </w:r>
      <w:bookmarkEnd w:id="1"/>
      <w:r>
        <w:t xml:space="preserve"> </w:t>
      </w:r>
    </w:p>
    <w:p>
      <w:pPr>
        <w:pStyle w:val="Corpsdetexte"/>
      </w:pPr>
    </w:p>
    <w:p>
      <w:pPr>
        <w:pStyle w:val="Heading21"/>
        <w:rPr>
          <w:szCs w:val="24"/>
        </w:rPr>
      </w:pPr>
      <w:r>
        <w:t>I.1 Conditions for eligibility of unit contributions</w:t>
      </w:r>
    </w:p>
    <w:p>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pPr>
        <w:spacing w:after="0" w:line="100" w:lineRule="atLeast"/>
        <w:ind w:left="720"/>
        <w:jc w:val="center"/>
        <w:rPr>
          <w:rFonts w:ascii="Times New Roman" w:eastAsia="Times New Roman" w:hAnsi="Times New Roman"/>
          <w:color w:val="000000"/>
          <w:sz w:val="24"/>
          <w:szCs w:val="24"/>
        </w:rPr>
      </w:pPr>
    </w:p>
    <w:p>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pPr>
        <w:spacing w:after="0" w:line="100" w:lineRule="atLeast"/>
        <w:ind w:left="1789"/>
        <w:rPr>
          <w:rFonts w:ascii="Times New Roman" w:eastAsia="Times New Roman" w:hAnsi="Times New Roman"/>
          <w:sz w:val="24"/>
          <w:szCs w:val="24"/>
        </w:rPr>
      </w:pPr>
    </w:p>
    <w:p>
      <w:pPr>
        <w:pStyle w:val="Paragraphedelist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pPr>
        <w:pStyle w:val="Paragraphedelist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pPr>
        <w:rPr>
          <w:rFonts w:ascii="Times New Roman" w:hAnsi="Times New Roman"/>
          <w:b/>
          <w:sz w:val="24"/>
          <w:szCs w:val="24"/>
        </w:rPr>
      </w:pPr>
    </w:p>
    <w:p>
      <w:pPr>
        <w:pStyle w:val="Heading21"/>
        <w:rPr>
          <w:shd w:val="clear" w:color="auto" w:fill="C0C0C0"/>
        </w:rPr>
      </w:pPr>
      <w:r>
        <w:t>I.2 Calculation and supporting documents for unit contributions</w:t>
      </w:r>
    </w:p>
    <w:p>
      <w:pPr>
        <w:pStyle w:val="Paragraphedeliste"/>
        <w:numPr>
          <w:ilvl w:val="0"/>
          <w:numId w:val="46"/>
        </w:numPr>
        <w:tabs>
          <w:tab w:val="clear" w:pos="0"/>
          <w:tab w:val="num" w:pos="284"/>
          <w:tab w:val="left" w:pos="851"/>
        </w:tabs>
        <w:ind w:left="426" w:hanging="284"/>
        <w:jc w:val="both"/>
        <w:rPr>
          <w:rFonts w:ascii="Times New Roman" w:hAnsi="Times New Roman"/>
          <w:b/>
          <w:sz w:val="24"/>
          <w:szCs w:val="24"/>
          <w:u w:val="single"/>
          <w:shd w:val="clear" w:color="auto" w:fill="FFFF00"/>
          <w:lang w:val="en-US"/>
        </w:rPr>
      </w:pPr>
      <w:r>
        <w:rPr>
          <w:rFonts w:ascii="Times New Roman" w:hAnsi="Times New Roman"/>
          <w:b/>
          <w:bCs/>
          <w:sz w:val="24"/>
          <w:szCs w:val="24"/>
          <w:u w:val="single"/>
          <w:shd w:val="clear" w:color="auto" w:fill="FFFF00"/>
          <w:lang w:val="en-US"/>
        </w:rPr>
        <w:t xml:space="preserve">Travel </w:t>
      </w:r>
    </w:p>
    <w:p>
      <w:pPr>
        <w:pStyle w:val="Paragraphedeliste"/>
        <w:tabs>
          <w:tab w:val="left" w:pos="851"/>
        </w:tabs>
        <w:ind w:left="1004"/>
        <w:jc w:val="both"/>
        <w:rPr>
          <w:rFonts w:ascii="Times New Roman" w:hAnsi="Times New Roman"/>
          <w:b/>
          <w:sz w:val="24"/>
          <w:szCs w:val="24"/>
          <w:u w:val="single"/>
          <w:shd w:val="clear" w:color="auto" w:fill="FFFF00"/>
          <w:lang w:val="en-US"/>
        </w:rPr>
      </w:pPr>
    </w:p>
    <w:p>
      <w:pPr>
        <w:ind w:left="426"/>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beneficiary must provide the reason for this difference.</w:t>
      </w:r>
    </w:p>
    <w:p>
      <w:pPr>
        <w:ind w:left="426"/>
        <w:jc w:val="both"/>
        <w:rPr>
          <w:rFonts w:ascii="Times New Roman" w:hAnsi="Times New Roman"/>
          <w:color w:val="FF0000"/>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beneficiary must report that situation accordingly in the Erasmus+ reporting and management tool for each mobility concerned. In this case, no grant support for travel will be awarded.</w:t>
      </w:r>
    </w:p>
    <w:p>
      <w:pPr>
        <w:numPr>
          <w:ilvl w:val="0"/>
          <w:numId w:val="57"/>
        </w:numPr>
        <w:ind w:left="426" w:hanging="426"/>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 accompanying persons, facilitators and group leaders per distance band, by the unit contribution applicable to the distance band concerned and type of travel (standard or green), as specified in Annex IV of the Agreement. The unit contribution per distance band represents the grant amount for a return travel between the place of departure and the place of arrival. In case of green travel modes (train, bus, shared car), the green travel unit contributions apply, otherwise the standard travel unit contributions apply.</w:t>
      </w:r>
    </w:p>
    <w:p>
      <w:pPr>
        <w:pStyle w:val="Paragraphedeliste"/>
        <w:spacing w:line="276" w:lineRule="auto"/>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In the case of itinerant activities, the grant amount is calculated by multiplying the number of participants per the distance band corresponding to the total of sum of the distances between individual venues.</w:t>
      </w:r>
    </w:p>
    <w:p>
      <w:pPr>
        <w:spacing w:after="0"/>
        <w:ind w:left="567"/>
        <w:jc w:val="both"/>
        <w:rPr>
          <w:rFonts w:ascii="Times New Roman" w:hAnsi="Times New Roman"/>
          <w:sz w:val="24"/>
          <w:szCs w:val="24"/>
        </w:rPr>
      </w:pPr>
      <w:r>
        <w:rPr>
          <w:rFonts w:ascii="Times New Roman" w:hAnsi="Times New Roman"/>
          <w:sz w:val="24"/>
          <w:szCs w:val="24"/>
        </w:rPr>
        <w:t>For the establishment of the distance band applicable, the beneficiary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the Erasmus+ reporting and management tool the grant amounts for travel based on the applicable unit contribution rates. </w:t>
      </w:r>
    </w:p>
    <w:p>
      <w:pPr>
        <w:spacing w:after="0" w:line="100" w:lineRule="atLeast"/>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spacing w:after="0" w:line="100" w:lineRule="atLeast"/>
        <w:ind w:left="502"/>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eastAsia="Times New Roman" w:hAnsi="Times New Roman"/>
          <w:color w:val="000000"/>
          <w:sz w:val="24"/>
          <w:szCs w:val="24"/>
        </w:rPr>
        <w:t>Supporting documents</w:t>
      </w:r>
    </w:p>
    <w:p>
      <w:pPr>
        <w:pStyle w:val="Paragraphedeliste"/>
        <w:rPr>
          <w:rFonts w:ascii="Times New Roman" w:hAnsi="Times New Roman"/>
          <w:color w:val="000000"/>
          <w:sz w:val="24"/>
          <w:szCs w:val="24"/>
        </w:rPr>
      </w:pPr>
    </w:p>
    <w:p>
      <w:pPr>
        <w:spacing w:after="0"/>
        <w:ind w:left="502"/>
        <w:jc w:val="both"/>
        <w:rPr>
          <w:rFonts w:ascii="Times New Roman" w:hAnsi="Times New Roman"/>
          <w:color w:val="000000"/>
          <w:sz w:val="24"/>
          <w:szCs w:val="24"/>
        </w:rPr>
      </w:pPr>
      <w:r>
        <w:rPr>
          <w:rFonts w:ascii="Times New Roman" w:eastAsia="Times New Roman" w:hAnsi="Times New Roman"/>
          <w:color w:val="000000"/>
          <w:sz w:val="24"/>
          <w:szCs w:val="24"/>
        </w:rPr>
        <w:t>Proof of attendance of the activity in the form of a declaration signed by the participant, by the receiving organisation, and specifying the name of the participant, the purpose of the activity, as well as its starting and end date</w:t>
      </w:r>
      <w:r>
        <w:rPr>
          <w:rFonts w:ascii="Times New Roman" w:hAnsi="Times New Roman"/>
          <w:color w:val="000000"/>
          <w:sz w:val="24"/>
          <w:szCs w:val="24"/>
        </w:rPr>
        <w:t>.</w:t>
      </w:r>
    </w:p>
    <w:p>
      <w:pPr>
        <w:spacing w:after="0" w:line="100" w:lineRule="atLeast"/>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pPr>
        <w:autoSpaceDE w:val="0"/>
        <w:autoSpaceDN w:val="0"/>
        <w:spacing w:after="0"/>
        <w:ind w:left="502"/>
        <w:jc w:val="both"/>
        <w:rPr>
          <w:rFonts w:eastAsia="Times New Roman"/>
          <w:lang w:eastAsia="en-GB"/>
        </w:rPr>
      </w:pPr>
      <w:r>
        <w:rPr>
          <w:rFonts w:ascii="Times New Roman" w:hAnsi="Times New Roman"/>
          <w:color w:val="000000"/>
          <w:sz w:val="24"/>
          <w:szCs w:val="24"/>
        </w:rPr>
        <w:t xml:space="preserve">In addition, in case of use of sustainable means of transport (green travel): a declaration on honour signed by the person receiving the travel grant and the sending organisation will serve as supporting documentation. </w:t>
      </w:r>
      <w:r>
        <w:rPr>
          <w:rFonts w:ascii="Times New Roman" w:hAnsi="Times New Roman"/>
          <w:sz w:val="24"/>
          <w:szCs w:val="24"/>
        </w:rPr>
        <w:t>Participants should be informed of their duty to keep the proof of travel (transport tickets) and to provide it to the beneficiary, if requested.</w:t>
      </w:r>
    </w:p>
    <w:p>
      <w:pPr>
        <w:pStyle w:val="Paragraphedeliste"/>
        <w:spacing w:line="276" w:lineRule="auto"/>
        <w:ind w:left="0"/>
        <w:jc w:val="both"/>
        <w:rPr>
          <w:rFonts w:ascii="Times New Roman" w:hAnsi="Times New Roman"/>
          <w:sz w:val="24"/>
          <w:szCs w:val="24"/>
          <w:shd w:val="clear" w:color="auto" w:fill="00FFFF"/>
        </w:rPr>
      </w:pPr>
    </w:p>
    <w:p>
      <w:pPr>
        <w:tabs>
          <w:tab w:val="left" w:pos="851"/>
        </w:tabs>
        <w:spacing w:after="0"/>
        <w:jc w:val="both"/>
        <w:rPr>
          <w:rFonts w:ascii="Times New Roman" w:hAnsi="Times New Roman"/>
          <w:b/>
          <w:bCs/>
          <w:sz w:val="24"/>
          <w:szCs w:val="24"/>
        </w:rPr>
      </w:pPr>
      <w:r>
        <w:rPr>
          <w:rFonts w:ascii="Times New Roman" w:hAnsi="Times New Roman"/>
          <w:b/>
          <w:bCs/>
          <w:sz w:val="24"/>
          <w:szCs w:val="24"/>
          <w:u w:val="single"/>
          <w:shd w:val="clear" w:color="auto" w:fill="FFFF00"/>
          <w:lang w:val="en-US"/>
        </w:rPr>
        <w:t>B. Individual support</w:t>
      </w:r>
    </w:p>
    <w:p>
      <w:pPr>
        <w:jc w:val="both"/>
        <w:rPr>
          <w:rFonts w:ascii="Times New Roman" w:hAnsi="Times New Roman"/>
          <w:b/>
          <w:sz w:val="24"/>
          <w:szCs w:val="24"/>
        </w:rPr>
      </w:pPr>
    </w:p>
    <w:p>
      <w:pPr>
        <w:numPr>
          <w:ilvl w:val="0"/>
          <w:numId w:val="48"/>
        </w:numPr>
        <w:tabs>
          <w:tab w:val="left" w:pos="567"/>
        </w:tabs>
        <w:spacing w:after="240"/>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and accompanying person including decision makers, </w:t>
      </w:r>
      <w:r>
        <w:rPr>
          <w:rFonts w:ascii="Times New Roman" w:eastAsia="Times New Roman" w:hAnsi="Times New Roman"/>
          <w:sz w:val="24"/>
          <w:szCs w:val="24"/>
        </w:rPr>
        <w:t>group leaders and facilitators]</w:t>
      </w:r>
      <w:r>
        <w:rPr>
          <w:rFonts w:ascii="Times New Roman" w:hAnsi="Times New Roman"/>
          <w:sz w:val="24"/>
          <w:szCs w:val="24"/>
        </w:rPr>
        <w:t xml:space="preserve"> by the unit contribution applicable per day for the receiving country concerned, as specified in Annex IV of the Agreement. Travel days may be added if relevant for a specific activity, and up to the limits specified in the Programme Guide.</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the interruption will not be counted when calculating the individual support grant. In case of interruption due to "force majeure", the participant must be allowed to continue the activities after the interruption (if possible within the conditions established in this Agreement).</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lastRenderedPageBreak/>
        <w:t>In case of termination by the participant of the agreement with the beneficiary due to "force majeure", the participant must be entitled to receive the amount of the grant corresponding at least to the actual duration of the mobility period. Any remaining funds must be refunded to the beneficiary, except if agreed differently by both parties.</w:t>
      </w: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t>Supporting documents:</w:t>
      </w:r>
    </w:p>
    <w:p>
      <w:pPr>
        <w:spacing w:after="240"/>
        <w:ind w:left="567"/>
        <w:jc w:val="both"/>
        <w:rPr>
          <w:rFonts w:ascii="Times New Roman" w:hAnsi="Times New Roman"/>
          <w:sz w:val="24"/>
          <w:szCs w:val="24"/>
          <w:shd w:val="clear" w:color="auto" w:fill="00FFFF"/>
        </w:rPr>
      </w:pPr>
      <w:r>
        <w:rPr>
          <w:rFonts w:ascii="Times New Roman" w:eastAsia="Times New Roman" w:hAnsi="Times New Roman"/>
          <w:color w:val="000000"/>
          <w:sz w:val="24"/>
          <w:szCs w:val="24"/>
        </w:rPr>
        <w:t>Proof of attendance of the activity in the form of a declaration signed by the participant and by the receiving organisation, specifying the name of the participant, the purpose of the activity, as well as its starting and end date</w:t>
      </w:r>
      <w:r>
        <w:rPr>
          <w:rFonts w:ascii="Times New Roman" w:hAnsi="Times New Roman"/>
          <w:color w:val="000000"/>
          <w:sz w:val="24"/>
          <w:szCs w:val="24"/>
        </w:rPr>
        <w:t>.</w:t>
      </w:r>
    </w:p>
    <w:p>
      <w:pPr>
        <w:numPr>
          <w:ilvl w:val="0"/>
          <w:numId w:val="48"/>
        </w:numPr>
        <w:spacing w:after="240" w:line="100" w:lineRule="atLeast"/>
        <w:ind w:left="567" w:hanging="425"/>
        <w:jc w:val="both"/>
        <w:rPr>
          <w:rFonts w:ascii="Times New Roman" w:hAnsi="Times New Roman"/>
          <w:color w:val="000000"/>
          <w:sz w:val="24"/>
          <w:szCs w:val="24"/>
        </w:rPr>
      </w:pPr>
      <w:r>
        <w:rPr>
          <w:rFonts w:ascii="Times New Roman" w:hAnsi="Times New Roman"/>
          <w:color w:val="000000"/>
          <w:sz w:val="24"/>
          <w:szCs w:val="24"/>
        </w:rPr>
        <w:t xml:space="preserve">Reporting: </w:t>
      </w:r>
    </w:p>
    <w:p>
      <w:pPr>
        <w:spacing w:after="240"/>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Participants (Group leaders) in mobility activities 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 </w:t>
      </w:r>
    </w:p>
    <w:p>
      <w:pPr>
        <w:tabs>
          <w:tab w:val="left" w:pos="851"/>
        </w:tabs>
        <w:spacing w:after="0" w:line="100" w:lineRule="atLeast"/>
        <w:jc w:val="both"/>
        <w:rPr>
          <w:rFonts w:ascii="Times New Roman" w:hAnsi="Times New Roman"/>
          <w:b/>
          <w:sz w:val="24"/>
          <w:szCs w:val="24"/>
          <w:u w:val="single"/>
          <w:shd w:val="clear" w:color="auto" w:fill="FFFF00"/>
        </w:rPr>
      </w:pPr>
    </w:p>
    <w:p>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 Organisational support</w:t>
      </w:r>
    </w:p>
    <w:p>
      <w:pPr>
        <w:jc w:val="both"/>
        <w:rPr>
          <w:rFonts w:ascii="Times New Roman" w:hAnsi="Times New Roman"/>
          <w:b/>
          <w:sz w:val="24"/>
          <w:szCs w:val="24"/>
        </w:rPr>
      </w:pPr>
    </w:p>
    <w:p>
      <w:pPr>
        <w:numPr>
          <w:ilvl w:val="0"/>
          <w:numId w:val="5"/>
        </w:numPr>
        <w:spacing w:after="0"/>
        <w:ind w:left="714" w:hanging="567"/>
        <w:jc w:val="both"/>
        <w:rPr>
          <w:rFonts w:ascii="Times New Roman" w:hAnsi="Times New Roman"/>
          <w:sz w:val="24"/>
          <w:szCs w:val="24"/>
          <w:shd w:val="clear" w:color="auto" w:fill="00FFFF"/>
        </w:rPr>
      </w:pPr>
      <w:r>
        <w:rPr>
          <w:rFonts w:ascii="Times New Roman" w:hAnsi="Times New Roman"/>
          <w:sz w:val="24"/>
          <w:szCs w:val="24"/>
        </w:rPr>
        <w:t>Calculation of the grant amount: the grant amount is calculated by multiplying the total number of participations in mobility activities by the unit contribution applicable, as specified in Annex IV of the Agreement. Accompanying persons group leaders, trainers, facilitators and persons taking part in preparatory visits are not considered to be participants of mobility activities and are therefore not considered for calculation of the organisational support grant.</w:t>
      </w:r>
    </w:p>
    <w:p>
      <w:pPr>
        <w:spacing w:after="0" w:line="100" w:lineRule="atLeast"/>
        <w:ind w:left="714"/>
        <w:jc w:val="both"/>
        <w:rPr>
          <w:rFonts w:ascii="Times New Roman" w:hAnsi="Times New Roman"/>
          <w:sz w:val="24"/>
          <w:szCs w:val="24"/>
        </w:rPr>
      </w:pPr>
    </w:p>
    <w:p>
      <w:pPr>
        <w:numPr>
          <w:ilvl w:val="0"/>
          <w:numId w:val="5"/>
        </w:numPr>
        <w:spacing w:after="0"/>
        <w:ind w:left="714"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spacing w:after="0"/>
        <w:jc w:val="both"/>
        <w:rPr>
          <w:rFonts w:ascii="Times New Roman" w:hAnsi="Times New Roman"/>
          <w:sz w:val="24"/>
          <w:szCs w:val="24"/>
        </w:rPr>
      </w:pPr>
    </w:p>
    <w:p>
      <w:pPr>
        <w:numPr>
          <w:ilvl w:val="0"/>
          <w:numId w:val="5"/>
        </w:numPr>
        <w:spacing w:after="0"/>
        <w:ind w:left="714" w:hanging="567"/>
        <w:jc w:val="both"/>
        <w:rPr>
          <w:rFonts w:ascii="Times New Roman" w:hAnsi="Times New Roman"/>
          <w:sz w:val="24"/>
          <w:szCs w:val="24"/>
        </w:rPr>
      </w:pPr>
      <w:r>
        <w:rPr>
          <w:rFonts w:ascii="Times New Roman" w:hAnsi="Times New Roman"/>
          <w:sz w:val="24"/>
          <w:szCs w:val="24"/>
        </w:rPr>
        <w:t xml:space="preserve">Supporting documents: </w:t>
      </w:r>
    </w:p>
    <w:p>
      <w:pPr>
        <w:jc w:val="both"/>
        <w:rPr>
          <w:rFonts w:ascii="Times New Roman" w:hAnsi="Times New Roman"/>
          <w:sz w:val="24"/>
          <w:szCs w:val="24"/>
        </w:rPr>
      </w:pPr>
    </w:p>
    <w:p>
      <w:pPr>
        <w:tabs>
          <w:tab w:val="left" w:pos="851"/>
        </w:tabs>
        <w:ind w:left="567"/>
        <w:jc w:val="both"/>
        <w:rPr>
          <w:rFonts w:ascii="Times New Roman" w:hAnsi="Times New Roman"/>
          <w:sz w:val="24"/>
          <w:szCs w:val="24"/>
        </w:rPr>
      </w:pPr>
    </w:p>
    <w:p>
      <w:pPr>
        <w:spacing w:after="240"/>
        <w:ind w:left="567"/>
        <w:jc w:val="both"/>
      </w:pPr>
      <w:r>
        <w:rPr>
          <w:rFonts w:ascii="Times New Roman" w:eastAsia="Times New Roman" w:hAnsi="Times New Roman"/>
          <w:color w:val="000000"/>
          <w:sz w:val="24"/>
          <w:szCs w:val="24"/>
        </w:rPr>
        <w:lastRenderedPageBreak/>
        <w:t>Proof of attendance of the activity in the form of a declaration signed by the participant and by the receiving organisation, specifying the name of the participant, the purpose of the activity, as well as its starting and end date.</w:t>
      </w:r>
    </w:p>
    <w:p>
      <w:pPr>
        <w:ind w:left="284"/>
        <w:jc w:val="both"/>
        <w:rPr>
          <w:rFonts w:ascii="Times New Roman" w:hAnsi="Times New Roman"/>
          <w:sz w:val="24"/>
          <w:szCs w:val="24"/>
        </w:rPr>
      </w:pPr>
      <w:r>
        <w:rPr>
          <w:rFonts w:ascii="Times New Roman" w:hAnsi="Times New Roman"/>
          <w:sz w:val="24"/>
          <w:szCs w:val="24"/>
        </w:rPr>
        <w:t xml:space="preserve"> (d)    Reporting: </w:t>
      </w:r>
    </w:p>
    <w:p>
      <w:pPr>
        <w:pStyle w:val="Paragraphedeliste"/>
        <w:spacing w:line="276" w:lineRule="auto"/>
        <w:ind w:left="1440"/>
        <w:jc w:val="both"/>
        <w:rPr>
          <w:rFonts w:ascii="Times New Roman" w:hAnsi="Times New Roman"/>
          <w:b/>
          <w:bCs/>
          <w:sz w:val="24"/>
          <w:szCs w:val="24"/>
        </w:rPr>
      </w:pPr>
    </w:p>
    <w:p>
      <w:pPr>
        <w:tabs>
          <w:tab w:val="left" w:pos="851"/>
        </w:tabs>
        <w:suppressAutoHyphens w:val="0"/>
        <w:ind w:left="720"/>
        <w:jc w:val="both"/>
        <w:rPr>
          <w:rFonts w:ascii="Times New Roman" w:hAnsi="Times New Roman"/>
          <w:sz w:val="24"/>
          <w:szCs w:val="24"/>
        </w:rPr>
      </w:pPr>
      <w:r>
        <w:rPr>
          <w:rFonts w:ascii="Times New Roman" w:hAnsi="Times New Roman"/>
          <w:sz w:val="24"/>
          <w:szCs w:val="24"/>
        </w:rPr>
        <w:t>The coordinator must report on all mobilities realised under the project, including the ones from the host country.</w:t>
      </w:r>
    </w:p>
    <w:p>
      <w:pPr>
        <w:numPr>
          <w:ilvl w:val="0"/>
          <w:numId w:val="70"/>
        </w:numPr>
        <w:jc w:val="both"/>
        <w:rPr>
          <w:rFonts w:ascii="Times New Roman" w:hAnsi="Times New Roman"/>
          <w:sz w:val="24"/>
          <w:szCs w:val="24"/>
        </w:rPr>
      </w:pPr>
      <w:r>
        <w:rPr>
          <w:rFonts w:ascii="Times New Roman" w:hAnsi="Times New Roman"/>
          <w:sz w:val="24"/>
          <w:szCs w:val="24"/>
          <w:highlight w:val="cyan"/>
        </w:rPr>
        <w:t>For Youth Workers</w:t>
      </w:r>
      <w:r>
        <w:rPr>
          <w:rFonts w:ascii="Times New Roman" w:hAnsi="Times New Roman"/>
          <w:sz w:val="24"/>
          <w:szCs w:val="24"/>
        </w:rPr>
        <w:t>: Participants in the activities should report on the activities via an on-line questionnaire providing their feedback on factual and qualitative elements of the activity period, as well as of its preparation and follow-up.</w:t>
      </w:r>
    </w:p>
    <w:p>
      <w:pPr>
        <w:numPr>
          <w:ilvl w:val="0"/>
          <w:numId w:val="70"/>
        </w:numPr>
        <w:jc w:val="both"/>
        <w:rPr>
          <w:rFonts w:ascii="Times New Roman" w:hAnsi="Times New Roman"/>
          <w:sz w:val="24"/>
          <w:szCs w:val="24"/>
        </w:rPr>
      </w:pPr>
      <w:r>
        <w:rPr>
          <w:rFonts w:ascii="Times New Roman" w:hAnsi="Times New Roman"/>
          <w:sz w:val="24"/>
          <w:szCs w:val="24"/>
          <w:highlight w:val="cyan"/>
        </w:rPr>
        <w:t>For Youth Exchanges</w:t>
      </w:r>
      <w:r>
        <w:rPr>
          <w:rFonts w:ascii="Times New Roman" w:hAnsi="Times New Roman"/>
          <w:sz w:val="24"/>
          <w:szCs w:val="24"/>
        </w:rPr>
        <w:t>: Group leaders in the activities should report on the activities via an on-line questionnaire providing their feedback on factual and qualitative elements of the activity period, as well as of its preparation and follow-up.</w:t>
      </w:r>
    </w:p>
    <w:p>
      <w:pPr>
        <w:tabs>
          <w:tab w:val="left" w:pos="851"/>
        </w:tabs>
        <w:suppressAutoHyphens w:val="0"/>
        <w:spacing w:line="240" w:lineRule="auto"/>
        <w:ind w:left="284"/>
        <w:jc w:val="both"/>
        <w:rPr>
          <w:rFonts w:ascii="Times New Roman" w:hAnsi="Times New Roman"/>
          <w:sz w:val="24"/>
          <w:szCs w:val="24"/>
        </w:rPr>
      </w:pPr>
    </w:p>
    <w:p>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 Inclusion support for organisations</w:t>
      </w: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participants with fewer opportunities] in mobility activities by the unit contribution applicable, as specified in Annex IV of the Agreement. </w:t>
      </w:r>
    </w:p>
    <w:p>
      <w:pPr>
        <w:pStyle w:val="Paragraphedeliste"/>
        <w:spacing w:line="276" w:lineRule="auto"/>
        <w:ind w:left="709"/>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participant has actually undertaken the activity. </w:t>
      </w:r>
    </w:p>
    <w:p>
      <w:pPr>
        <w:jc w:val="both"/>
        <w:rPr>
          <w:rFonts w:ascii="Times New Roman" w:hAnsi="Times New Roman"/>
          <w:sz w:val="24"/>
          <w:szCs w:val="24"/>
        </w:rPr>
      </w:pPr>
    </w:p>
    <w:p>
      <w:pPr>
        <w:pStyle w:val="Paragraphedeliste"/>
        <w:numPr>
          <w:ilvl w:val="0"/>
          <w:numId w:val="114"/>
        </w:numPr>
        <w:spacing w:line="276" w:lineRule="auto"/>
        <w:ind w:left="709" w:hanging="425"/>
        <w:jc w:val="both"/>
        <w:rPr>
          <w:rFonts w:ascii="Times New Roman" w:hAnsi="Times New Roman"/>
          <w:sz w:val="24"/>
          <w:szCs w:val="24"/>
        </w:rPr>
      </w:pPr>
      <w:r>
        <w:rPr>
          <w:rFonts w:ascii="Times New Roman" w:hAnsi="Times New Roman"/>
          <w:sz w:val="24"/>
          <w:szCs w:val="24"/>
        </w:rPr>
        <w:t>Proof of attendance of the activity in the form of a declaration signed by the receiving organisation specifying the name of the participant, the purpose of the activity, as well as its starting and end date.</w:t>
      </w:r>
    </w:p>
    <w:p>
      <w:pPr>
        <w:pStyle w:val="Paragraphedeliste"/>
        <w:spacing w:line="276" w:lineRule="auto"/>
        <w:rPr>
          <w:rFonts w:ascii="Times New Roman" w:hAnsi="Times New Roman"/>
          <w:sz w:val="24"/>
          <w:szCs w:val="24"/>
        </w:rPr>
      </w:pPr>
    </w:p>
    <w:p>
      <w:pPr>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pPr>
        <w:ind w:left="720"/>
        <w:jc w:val="both"/>
        <w:rPr>
          <w:rFonts w:ascii="Times New Roman" w:hAnsi="Times New Roman"/>
          <w:b/>
          <w:sz w:val="24"/>
          <w:szCs w:val="24"/>
          <w:shd w:val="clear" w:color="auto" w:fill="00FFFF"/>
        </w:rPr>
      </w:pPr>
    </w:p>
    <w:p>
      <w:pPr>
        <w:jc w:val="both"/>
        <w:rPr>
          <w:rFonts w:ascii="Times New Roman" w:hAnsi="Times New Roman"/>
          <w:sz w:val="24"/>
          <w:szCs w:val="24"/>
          <w:u w:val="single"/>
        </w:rPr>
      </w:pPr>
      <w:r>
        <w:rPr>
          <w:rFonts w:ascii="Times New Roman" w:hAnsi="Times New Roman"/>
          <w:b/>
          <w:bCs/>
          <w:sz w:val="24"/>
          <w:szCs w:val="24"/>
          <w:u w:val="single"/>
          <w:shd w:val="clear" w:color="auto" w:fill="FFFF00"/>
        </w:rPr>
        <w:t>E. Online Language Support (OLS)</w:t>
      </w:r>
      <w:r>
        <w:rPr>
          <w:rFonts w:ascii="Times New Roman" w:hAnsi="Times New Roman"/>
          <w:sz w:val="24"/>
          <w:szCs w:val="24"/>
          <w:u w:val="single"/>
        </w:rPr>
        <w:t xml:space="preserve"> </w:t>
      </w:r>
    </w:p>
    <w:p>
      <w:pPr>
        <w:numPr>
          <w:ilvl w:val="0"/>
          <w:numId w:val="4"/>
        </w:numPr>
        <w:tabs>
          <w:tab w:val="num" w:pos="-1091"/>
        </w:tabs>
        <w:suppressAutoHyphens w:val="0"/>
        <w:ind w:left="1418" w:hanging="1080"/>
        <w:jc w:val="both"/>
        <w:rPr>
          <w:rFonts w:ascii="Times New Roman" w:hAnsi="Times New Roman"/>
          <w:sz w:val="24"/>
          <w:szCs w:val="24"/>
          <w:lang w:eastAsia="es-ES"/>
        </w:rPr>
      </w:pPr>
      <w:r>
        <w:rPr>
          <w:rFonts w:ascii="Times New Roman" w:hAnsi="Times New Roman"/>
          <w:sz w:val="24"/>
          <w:szCs w:val="24"/>
        </w:rPr>
        <w:lastRenderedPageBreak/>
        <w:t>The beneficiary must make optimal use of OLS for provision of linguistic support, as specified in the Erasmus quality standards.</w:t>
      </w:r>
    </w:p>
    <w:p>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During implementation, the beneficiary must monitor, support and actively encourage the use of OLS by participants who have been provided with access to OLS courses.</w:t>
      </w:r>
    </w:p>
    <w:p>
      <w:pPr>
        <w:numPr>
          <w:ilvl w:val="0"/>
          <w:numId w:val="4"/>
        </w:numPr>
        <w:tabs>
          <w:tab w:val="num" w:pos="-1091"/>
        </w:tabs>
        <w:suppressAutoHyphens w:val="0"/>
        <w:ind w:left="1418" w:hanging="1080"/>
        <w:jc w:val="both"/>
        <w:rPr>
          <w:rFonts w:ascii="Times New Roman" w:hAnsi="Times New Roman"/>
          <w:sz w:val="24"/>
          <w:szCs w:val="24"/>
        </w:rPr>
      </w:pPr>
      <w:r>
        <w:rPr>
          <w:rFonts w:ascii="Times New Roman" w:hAnsi="Times New Roman"/>
          <w:sz w:val="24"/>
          <w:szCs w:val="24"/>
        </w:rPr>
        <w:t>The beneficiary must act in line with the guidelines for use of OLS provided by the OLS service providers.</w:t>
      </w:r>
    </w:p>
    <w:p>
      <w:pPr>
        <w:spacing w:after="0"/>
        <w:jc w:val="both"/>
        <w:rPr>
          <w:rFonts w:ascii="Times New Roman" w:hAnsi="Times New Roman"/>
          <w:sz w:val="24"/>
          <w:szCs w:val="24"/>
          <w:highlight w:val="cyan"/>
          <w:shd w:val="clear" w:color="auto" w:fill="C0C0C0"/>
        </w:rPr>
      </w:pPr>
    </w:p>
    <w:p>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F. Preparatory visits</w:t>
      </w:r>
    </w:p>
    <w:p>
      <w:pPr>
        <w:pStyle w:val="Paragraphedeliste"/>
        <w:numPr>
          <w:ilvl w:val="0"/>
          <w:numId w:val="119"/>
        </w:numPr>
        <w:spacing w:line="276" w:lineRule="auto"/>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persons participating in preparatory visits by the unit contribution applicable, as specified in Annex IV of the Agreement and with the limitations specified in the Programme Guide. </w:t>
      </w:r>
    </w:p>
    <w:p>
      <w:pPr>
        <w:spacing w:after="0"/>
        <w:jc w:val="both"/>
        <w:rPr>
          <w:rFonts w:ascii="Times New Roman" w:hAnsi="Times New Roman"/>
          <w:sz w:val="24"/>
          <w:szCs w:val="24"/>
        </w:rPr>
      </w:pPr>
    </w:p>
    <w:p>
      <w:pPr>
        <w:pStyle w:val="Paragraphedeliste"/>
        <w:numPr>
          <w:ilvl w:val="0"/>
          <w:numId w:val="119"/>
        </w:numPr>
        <w:spacing w:line="276" w:lineRule="auto"/>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person has actually undertaken the preparatory visit.</w:t>
      </w:r>
    </w:p>
    <w:p>
      <w:pPr>
        <w:pStyle w:val="Paragraphedeliste"/>
        <w:spacing w:line="276" w:lineRule="auto"/>
        <w:rPr>
          <w:rFonts w:ascii="Times New Roman" w:hAnsi="Times New Roman"/>
          <w:sz w:val="24"/>
          <w:szCs w:val="24"/>
          <w:shd w:val="clear" w:color="auto" w:fill="00FFFF"/>
        </w:rPr>
      </w:pPr>
    </w:p>
    <w:p>
      <w:pPr>
        <w:pStyle w:val="Paragraphedeliste"/>
        <w:numPr>
          <w:ilvl w:val="0"/>
          <w:numId w:val="119"/>
        </w:numPr>
        <w:spacing w:line="276" w:lineRule="auto"/>
        <w:jc w:val="both"/>
        <w:rPr>
          <w:rFonts w:ascii="Times New Roman" w:hAnsi="Times New Roman"/>
          <w:sz w:val="24"/>
          <w:szCs w:val="24"/>
        </w:rPr>
      </w:pPr>
      <w:r>
        <w:rPr>
          <w:rFonts w:ascii="Times New Roman" w:hAnsi="Times New Roman"/>
          <w:sz w:val="24"/>
          <w:szCs w:val="24"/>
        </w:rPr>
        <w:t xml:space="preserve">Supporting documents: </w:t>
      </w:r>
      <w:r>
        <w:rPr>
          <w:rFonts w:ascii="Times New Roman" w:eastAsia="Times New Roman" w:hAnsi="Times New Roman"/>
          <w:color w:val="000000"/>
          <w:sz w:val="24"/>
          <w:szCs w:val="24"/>
        </w:rPr>
        <w:t>proof of attendance of the preparatory visit in the form of an agenda and a declaration signed by the participant and by the hosting organisation specifying the name of the person, the purpose of the activity</w:t>
      </w:r>
      <w:r>
        <w:rPr>
          <w:rFonts w:ascii="Times New Roman" w:hAnsi="Times New Roman"/>
          <w:color w:val="000000"/>
          <w:sz w:val="24"/>
          <w:szCs w:val="24"/>
        </w:rPr>
        <w:t>.]</w:t>
      </w:r>
    </w:p>
    <w:p>
      <w:pPr>
        <w:spacing w:after="0"/>
        <w:jc w:val="both"/>
        <w:rPr>
          <w:rFonts w:ascii="Times New Roman" w:hAnsi="Times New Roman"/>
          <w:sz w:val="24"/>
          <w:szCs w:val="24"/>
          <w:highlight w:val="cyan"/>
          <w:shd w:val="clear" w:color="auto" w:fill="C0C0C0"/>
        </w:rPr>
      </w:pPr>
    </w:p>
    <w:p>
      <w:pPr>
        <w:pStyle w:val="Titre1"/>
        <w:numPr>
          <w:ilvl w:val="0"/>
          <w:numId w:val="125"/>
        </w:numPr>
        <w:rPr>
          <w:u w:val="single"/>
          <w:shd w:val="clear" w:color="auto" w:fill="FFFF00"/>
          <w:lang w:val="en-US"/>
        </w:rPr>
      </w:pPr>
      <w:bookmarkStart w:id="2" w:name="_Toc72322255"/>
      <w:r>
        <w:t>RULES APPLICABLE FOR THE BUDGET CATEGORIES BASED ON REIMBURSEMENT OF ACTUAL INCURRED COSTS</w:t>
      </w:r>
      <w:bookmarkEnd w:id="2"/>
    </w:p>
    <w:p>
      <w:pPr>
        <w:rPr>
          <w:szCs w:val="28"/>
        </w:rPr>
      </w:pPr>
    </w:p>
    <w:p>
      <w:pPr>
        <w:pStyle w:val="Heading21"/>
      </w:pPr>
      <w:r>
        <w:t>II.1. Conditions for the reimbursement of actual costs</w:t>
      </w:r>
    </w:p>
    <w:p>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pPr>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709" w:hanging="567"/>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I.17;</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709" w:hanging="567"/>
        <w:jc w:val="both"/>
        <w:rPr>
          <w:rFonts w:ascii="Times New Roman" w:eastAsia="Times New Roman" w:hAnsi="Times New Roman"/>
          <w:sz w:val="24"/>
          <w:szCs w:val="24"/>
        </w:rPr>
      </w:pPr>
    </w:p>
    <w:p>
      <w:pPr>
        <w:numPr>
          <w:ilvl w:val="0"/>
          <w:numId w:val="17"/>
        </w:numPr>
        <w:tabs>
          <w:tab w:val="clear" w:pos="720"/>
          <w:tab w:val="num" w:pos="709"/>
        </w:tabs>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pPr>
        <w:spacing w:after="0" w:line="100" w:lineRule="atLeast"/>
        <w:ind w:left="709" w:hanging="567"/>
        <w:jc w:val="both"/>
        <w:rPr>
          <w:rFonts w:ascii="Times New Roman" w:eastAsia="Times New Roman" w:hAnsi="Times New Roman"/>
          <w:sz w:val="24"/>
          <w:szCs w:val="24"/>
        </w:rPr>
      </w:pPr>
    </w:p>
    <w:p>
      <w:pPr>
        <w:pStyle w:val="Heading21"/>
      </w:pPr>
      <w:r>
        <w:t>II.2. Calculation of actual cost</w:t>
      </w:r>
    </w:p>
    <w:p>
      <w:pPr>
        <w:spacing w:after="0" w:line="100" w:lineRule="atLeast"/>
        <w:jc w:val="both"/>
        <w:rPr>
          <w:rFonts w:ascii="Times New Roman" w:hAnsi="Times New Roman"/>
          <w:sz w:val="24"/>
          <w:szCs w:val="24"/>
          <w:u w:val="single"/>
          <w:lang w:val="en-US"/>
        </w:rPr>
      </w:pPr>
    </w:p>
    <w:p>
      <w:pPr>
        <w:numPr>
          <w:ilvl w:val="0"/>
          <w:numId w:val="18"/>
        </w:numPr>
        <w:spacing w:after="0" w:line="100" w:lineRule="atLeast"/>
        <w:ind w:left="426" w:hanging="426"/>
        <w:jc w:val="both"/>
        <w:rPr>
          <w:rFonts w:ascii="Times New Roman" w:hAnsi="Times New Roman"/>
          <w:b/>
          <w:bCs/>
          <w:sz w:val="24"/>
          <w:szCs w:val="24"/>
          <w:lang w:val="en-US"/>
        </w:rPr>
      </w:pPr>
      <w:r>
        <w:rPr>
          <w:rFonts w:ascii="Times New Roman" w:hAnsi="Times New Roman"/>
          <w:b/>
          <w:bCs/>
          <w:sz w:val="24"/>
          <w:szCs w:val="24"/>
          <w:u w:val="single"/>
          <w:shd w:val="clear" w:color="auto" w:fill="FFFF00"/>
          <w:lang w:val="en-US"/>
        </w:rPr>
        <w:t>Inclusion support for participants</w:t>
      </w:r>
    </w:p>
    <w:p>
      <w:pPr>
        <w:spacing w:after="0" w:line="100" w:lineRule="atLeast"/>
        <w:jc w:val="both"/>
        <w:rPr>
          <w:rFonts w:ascii="Times New Roman" w:hAnsi="Times New Roman"/>
          <w:sz w:val="24"/>
          <w:szCs w:val="24"/>
          <w:lang w:val="en-US"/>
        </w:rPr>
      </w:pPr>
    </w:p>
    <w:p>
      <w:pPr>
        <w:tabs>
          <w:tab w:val="left" w:pos="709"/>
        </w:tabs>
        <w:ind w:left="709" w:hanging="709"/>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Pr>
          <w:rFonts w:ascii="Times New Roman" w:hAnsi="Times New Roman"/>
          <w:sz w:val="24"/>
          <w:szCs w:val="24"/>
        </w:rPr>
        <w:t xml:space="preserve">Calculation of the grant amount: the grant is a reimbursement of 100% of the eligible costs actually incurred. </w:t>
      </w:r>
    </w:p>
    <w:p>
      <w:pPr>
        <w:tabs>
          <w:tab w:val="left" w:pos="709"/>
        </w:tabs>
        <w:ind w:left="709" w:hanging="709"/>
        <w:jc w:val="both"/>
        <w:rPr>
          <w:rFonts w:ascii="Times New Roman" w:hAnsi="Times New Roman"/>
          <w:sz w:val="24"/>
          <w:szCs w:val="24"/>
          <w:lang w:val="en-US"/>
        </w:rPr>
      </w:pPr>
      <w:r>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lang w:val="en-US"/>
        </w:rPr>
        <w:t>Eligible costs: costs directly related to participants with fewer opportunities and their accompanying persons that are additional to costs supported by a unit contribution as specified in Section I of this Annex. Costs related to travel and subsistence may be requested under this budget category if a grant for the same participants has not been requested through budget categories Travel and Individual support.</w:t>
      </w:r>
    </w:p>
    <w:p>
      <w:pPr>
        <w:tabs>
          <w:tab w:val="left" w:pos="709"/>
        </w:tabs>
        <w:ind w:left="709" w:hanging="709"/>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proof of payment of the related costs on the basis of invoices specifying the name and address of the body issuing the invoice, the amount and currency, the date of the invoice, and if relevant a documentation signed by the receiving organisation specifying the confirmed start and end date of the stay of the accompanying person.</w:t>
      </w:r>
    </w:p>
    <w:p>
      <w:pPr>
        <w:tabs>
          <w:tab w:val="left" w:pos="709"/>
        </w:tabs>
        <w:ind w:left="851" w:hanging="709"/>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 xml:space="preserve">Reporting: for each cost item in this budget category, the beneficiary must report the type of costs and the real amount of costs incurred. </w:t>
      </w:r>
    </w:p>
    <w:p>
      <w:pPr>
        <w:tabs>
          <w:tab w:val="left" w:pos="851"/>
        </w:tabs>
        <w:spacing w:after="0" w:line="100" w:lineRule="atLeast"/>
        <w:jc w:val="both"/>
        <w:rPr>
          <w:rFonts w:ascii="Times New Roman" w:eastAsia="Times New Roman" w:hAnsi="Times New Roman"/>
          <w:sz w:val="24"/>
          <w:szCs w:val="24"/>
          <w:shd w:val="clear" w:color="auto" w:fill="00FFFF"/>
        </w:rPr>
      </w:pPr>
    </w:p>
    <w:p>
      <w:pPr>
        <w:spacing w:line="100" w:lineRule="atLeast"/>
        <w:jc w:val="center"/>
        <w:rPr>
          <w:rFonts w:ascii="Times New Roman" w:hAnsi="Times New Roman"/>
          <w:sz w:val="24"/>
          <w:szCs w:val="24"/>
        </w:rPr>
      </w:pPr>
    </w:p>
    <w:p>
      <w:pPr>
        <w:numPr>
          <w:ilvl w:val="0"/>
          <w:numId w:val="18"/>
        </w:numPr>
        <w:spacing w:after="0" w:line="100" w:lineRule="atLeast"/>
        <w:ind w:left="426" w:hanging="426"/>
        <w:jc w:val="both"/>
        <w:rPr>
          <w:rFonts w:ascii="Times New Roman" w:hAnsi="Times New Roman"/>
          <w:b/>
          <w:bCs/>
          <w:sz w:val="24"/>
          <w:szCs w:val="24"/>
          <w:u w:val="single"/>
          <w:lang w:val="en-US"/>
        </w:rPr>
      </w:pPr>
      <w:r>
        <w:rPr>
          <w:rFonts w:ascii="Times New Roman" w:hAnsi="Times New Roman"/>
          <w:b/>
          <w:bCs/>
          <w:sz w:val="24"/>
          <w:szCs w:val="24"/>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22"/>
        </w:numPr>
        <w:jc w:val="both"/>
      </w:pPr>
      <w:r>
        <w:rPr>
          <w:rFonts w:ascii="Times New Roman" w:hAnsi="Times New Roman"/>
          <w:sz w:val="24"/>
          <w:szCs w:val="24"/>
        </w:rPr>
        <w:lastRenderedPageBreak/>
        <w:t>Calculation of the grant amount: the grant is a reimbursement of 80% of the following eligible costs actually incurred, with the exception of the cost related to visa, residence permits and vaccinations and medical certifications, which shall be reimbursed at 100%.</w:t>
      </w:r>
    </w:p>
    <w:p>
      <w:pPr>
        <w:numPr>
          <w:ilvl w:val="0"/>
          <w:numId w:val="22"/>
        </w:numPr>
        <w:jc w:val="both"/>
        <w:rPr>
          <w:rFonts w:ascii="Times New Roman" w:hAnsi="Times New Roman"/>
          <w:sz w:val="24"/>
          <w:szCs w:val="24"/>
        </w:rPr>
      </w:pPr>
      <w:r>
        <w:rPr>
          <w:rFonts w:ascii="Times New Roman" w:hAnsi="Times New Roman"/>
          <w:sz w:val="24"/>
          <w:szCs w:val="24"/>
        </w:rPr>
        <w:t xml:space="preserve">Eligible costs: </w:t>
      </w: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Costs relating to a pre-financing guarantee lodged by the beneficiary where such guarantee is required by the NA, as specified in Article I.4.2 of the Agreement.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Costs of travel in the most economical but also effective way for eligible participants for which the standard funding rule does not cover at least 70% of the eligible costs. The exceptional costs for expensive travel replaces the separate travel grant.</w:t>
      </w:r>
    </w:p>
    <w:p>
      <w:pPr>
        <w:pStyle w:val="Paragraphedeliste"/>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Costs related to visa, residence permits and vaccinations and medical certifications.</w:t>
      </w:r>
    </w:p>
    <w:p>
      <w:pPr>
        <w:pStyle w:val="Paragraphedeliste"/>
        <w:spacing w:line="276" w:lineRule="auto"/>
        <w:jc w:val="both"/>
        <w:rPr>
          <w:rFonts w:ascii="Times New Roman" w:eastAsia="Calibri" w:hAnsi="Times New Roman" w:cs="Times New Roman"/>
          <w:sz w:val="24"/>
          <w:szCs w:val="24"/>
        </w:rPr>
      </w:pPr>
    </w:p>
    <w:p>
      <w:pPr>
        <w:pStyle w:val="Paragraphedeliste"/>
        <w:numPr>
          <w:ilvl w:val="0"/>
          <w:numId w:val="22"/>
        </w:numPr>
        <w:spacing w:line="276" w:lineRule="auto"/>
        <w:jc w:val="both"/>
        <w:rPr>
          <w:rFonts w:ascii="Times New Roman" w:hAnsi="Times New Roman"/>
          <w:sz w:val="24"/>
          <w:szCs w:val="24"/>
        </w:rPr>
      </w:pPr>
      <w:r>
        <w:rPr>
          <w:rFonts w:ascii="Times New Roman" w:hAnsi="Times New Roman"/>
          <w:sz w:val="24"/>
          <w:szCs w:val="24"/>
        </w:rPr>
        <w:t>Supporting documents:</w:t>
      </w:r>
    </w:p>
    <w:p>
      <w:pPr>
        <w:pStyle w:val="Paragraphedeliste"/>
        <w:spacing w:line="276" w:lineRule="auto"/>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 the case of travel costs related to visa, residence permits and vaccinations and medical certifications: proof of payment of the related costs on the basis of invoices specifying the name and address of the body issuing the invoice, the amount and currency, and the date of the invoice.</w:t>
      </w:r>
    </w:p>
    <w:p>
      <w:pPr>
        <w:pStyle w:val="Paragraphedeliste"/>
        <w:rPr>
          <w:rFonts w:ascii="Times New Roman" w:hAnsi="Times New Roman"/>
          <w:sz w:val="24"/>
          <w:szCs w:val="24"/>
        </w:rPr>
      </w:pPr>
    </w:p>
    <w:p>
      <w:pPr>
        <w:pStyle w:val="Paragraphedeliste"/>
        <w:spacing w:line="276" w:lineRule="auto"/>
        <w:ind w:left="1134"/>
        <w:jc w:val="both"/>
        <w:rPr>
          <w:rFonts w:ascii="Times New Roman" w:hAnsi="Times New Roman"/>
          <w:sz w:val="24"/>
          <w:szCs w:val="24"/>
        </w:rPr>
      </w:pPr>
    </w:p>
    <w:p>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[Youth Workers Mobility:</w:t>
      </w:r>
    </w:p>
    <w:p>
      <w:pPr>
        <w:jc w:val="both"/>
        <w:rPr>
          <w:rFonts w:ascii="Times New Roman" w:hAnsi="Times New Roman"/>
          <w:sz w:val="24"/>
          <w:szCs w:val="24"/>
          <w:shd w:val="clear" w:color="auto" w:fill="00FFFF"/>
          <w:lang w:val="en-US"/>
        </w:rPr>
      </w:pPr>
      <w:r>
        <w:rPr>
          <w:rFonts w:ascii="Times New Roman" w:hAnsi="Times New Roman"/>
          <w:sz w:val="24"/>
          <w:szCs w:val="24"/>
          <w:shd w:val="clear" w:color="auto" w:fill="00FFFF"/>
          <w:lang w:val="en-US"/>
        </w:rPr>
        <w:t>Complementary activities costs (System Development and Outreach Activities)</w:t>
      </w:r>
    </w:p>
    <w:p>
      <w:pPr>
        <w:pStyle w:val="Paragraphedeliste"/>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complementary activities.</w:t>
      </w:r>
    </w:p>
    <w:p>
      <w:pPr>
        <w:pStyle w:val="Paragraphedeliste"/>
        <w:suppressAutoHyphens w:val="0"/>
        <w:spacing w:line="276" w:lineRule="auto"/>
        <w:ind w:left="851"/>
        <w:jc w:val="both"/>
        <w:rPr>
          <w:rFonts w:ascii="Times New Roman" w:hAnsi="Times New Roman" w:cs="Times New Roman"/>
          <w:sz w:val="24"/>
          <w:szCs w:val="24"/>
        </w:rPr>
      </w:pPr>
    </w:p>
    <w:p>
      <w:pPr>
        <w:pStyle w:val="Paragraphedeliste"/>
        <w:numPr>
          <w:ilvl w:val="0"/>
          <w:numId w:val="132"/>
        </w:numPr>
        <w:suppressAutoHyphens w:val="0"/>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Eligible costs: </w:t>
      </w:r>
    </w:p>
    <w:p>
      <w:pPr>
        <w:pStyle w:val="Paragraphedeliste"/>
        <w:suppressAutoHyphens w:val="0"/>
        <w:spacing w:line="276" w:lineRule="auto"/>
        <w:jc w:val="both"/>
        <w:rPr>
          <w:rFonts w:ascii="Times New Roman" w:hAnsi="Times New Roman" w:cs="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Costs directly linked to the implementation of the Complementary Activities, including sub-contracting and purchase of goods and services, in so far as applied for by the beneficiary and in so far as approved by the NA and specified in Annex II;</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Indirect costs representing the beneficiary's general administrative costs which can be regarded as chargeable to the project (e.g. electricity or internet bills, costs for premises, cost of permanent staff, etc.) not exceeding 7% of the eligible direct costs of the Complementary Activities.</w:t>
      </w:r>
    </w:p>
    <w:p>
      <w:pPr>
        <w:pStyle w:val="Paragraphedeliste"/>
        <w:spacing w:line="276" w:lineRule="auto"/>
        <w:ind w:left="851"/>
        <w:jc w:val="both"/>
        <w:rPr>
          <w:rFonts w:ascii="Times New Roman" w:hAnsi="Times New Roman" w:cs="Times New Roman"/>
          <w:sz w:val="24"/>
          <w:szCs w:val="24"/>
        </w:rPr>
      </w:pPr>
    </w:p>
    <w:p>
      <w:pPr>
        <w:pStyle w:val="Paragraphedeliste"/>
        <w:numPr>
          <w:ilvl w:val="0"/>
          <w:numId w:val="132"/>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Supporting documents: </w:t>
      </w:r>
    </w:p>
    <w:p>
      <w:pPr>
        <w:pStyle w:val="Paragraphedeliste"/>
        <w:spacing w:line="276" w:lineRule="auto"/>
        <w:jc w:val="both"/>
        <w:rPr>
          <w:rFonts w:ascii="Times New Roman" w:hAnsi="Times New Roman"/>
          <w:sz w:val="24"/>
          <w:szCs w:val="24"/>
          <w:lang w:val="en-US"/>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For direct costs: proof of payment of the related costs on the basis of invoices of the actual costs incurred, specifying the name and address of the body issuing the invoice, the amount and currency, and the date of the invoice.</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For indirect costs: no supporting documents required]</w:t>
      </w:r>
    </w:p>
    <w:p>
      <w:pPr>
        <w:pStyle w:val="Paragraphedeliste"/>
        <w:spacing w:line="276" w:lineRule="auto"/>
        <w:ind w:left="1069"/>
      </w:pPr>
    </w:p>
    <w:p>
      <w:pPr>
        <w:pStyle w:val="Paragraphedeliste"/>
        <w:numPr>
          <w:ilvl w:val="0"/>
          <w:numId w:val="19"/>
        </w:numPr>
        <w:spacing w:line="276" w:lineRule="auto"/>
        <w:jc w:val="both"/>
      </w:pPr>
      <w:r>
        <w:rPr>
          <w:rFonts w:ascii="Times New Roman" w:hAnsi="Times New Roman"/>
          <w:sz w:val="24"/>
          <w:szCs w:val="24"/>
        </w:rPr>
        <w:t>Reporting:</w:t>
      </w: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For direct costs: for each cost item in this budget category, the beneficiary must report the type of costs and the real amount of costs incurred.</w:t>
      </w:r>
    </w:p>
    <w:p>
      <w:pPr>
        <w:pStyle w:val="Paragraphedeliste"/>
        <w:spacing w:line="276" w:lineRule="auto"/>
        <w:ind w:left="1134"/>
        <w:jc w:val="both"/>
        <w:rPr>
          <w:rFonts w:ascii="Times New Roman" w:hAnsi="Times New Roman"/>
          <w:sz w:val="24"/>
          <w:szCs w:val="24"/>
        </w:rPr>
      </w:pPr>
    </w:p>
    <w:p>
      <w:pPr>
        <w:pStyle w:val="Paragraphedeliste"/>
        <w:numPr>
          <w:ilvl w:val="0"/>
          <w:numId w:val="24"/>
        </w:numPr>
        <w:spacing w:line="276" w:lineRule="auto"/>
        <w:ind w:left="1134"/>
        <w:jc w:val="both"/>
        <w:rPr>
          <w:rFonts w:ascii="Times New Roman" w:hAnsi="Times New Roman"/>
          <w:sz w:val="24"/>
          <w:szCs w:val="24"/>
        </w:rPr>
      </w:pPr>
      <w:r>
        <w:rPr>
          <w:rFonts w:ascii="Times New Roman" w:hAnsi="Times New Roman"/>
          <w:sz w:val="24"/>
          <w:szCs w:val="24"/>
        </w:rPr>
        <w:t>For indirect costs: no reporting required</w:t>
      </w:r>
    </w:p>
    <w:p>
      <w:pPr>
        <w:jc w:val="both"/>
        <w:rPr>
          <w:rFonts w:ascii="Times New Roman" w:hAnsi="Times New Roman"/>
          <w:sz w:val="24"/>
          <w:szCs w:val="24"/>
        </w:rPr>
      </w:pPr>
    </w:p>
    <w:p>
      <w:pPr>
        <w:pStyle w:val="Titre1"/>
        <w:numPr>
          <w:ilvl w:val="0"/>
          <w:numId w:val="125"/>
        </w:numPr>
      </w:pPr>
      <w:bookmarkStart w:id="3" w:name="_Toc72322256"/>
      <w:r>
        <w:t>CONDITIONS OF ELIGIBILITY OF PROJECT ACTIVITIES</w:t>
      </w:r>
      <w:bookmarkEnd w:id="3"/>
    </w:p>
    <w:p>
      <w:pPr>
        <w:pStyle w:val="Corpsdetexte"/>
      </w:pPr>
    </w:p>
    <w:p>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must ensure that the activities of the project for which grant support was awarded are eligible in accordance with the rules set out in the Erasmus+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t>Activities that are not compliant with the rules set out in the Erasmus+ Programme Guide (as complemented by the rules set out in this Annex) must be declared ineligible by the NA and the grant amounts corresponding to those activities must be recovered in full. The recovery must cover all budget categories for which a grant was awarded in relation to the activity that is declared ineligible.</w:t>
      </w:r>
    </w:p>
    <w:p>
      <w:pPr>
        <w:pStyle w:val="Titre1"/>
        <w:numPr>
          <w:ilvl w:val="0"/>
          <w:numId w:val="125"/>
        </w:numPr>
      </w:pPr>
      <w:bookmarkStart w:id="4" w:name="_Toc72322257"/>
      <w:r>
        <w:t xml:space="preserve">FINAL REPORT  </w:t>
      </w:r>
      <w:bookmarkEnd w:id="4"/>
    </w:p>
    <w:p>
      <w:pPr>
        <w:pStyle w:val="Corpsdetexte"/>
      </w:pPr>
    </w:p>
    <w:p>
      <w:pPr>
        <w:jc w:val="both"/>
        <w:rPr>
          <w:rFonts w:ascii="Times New Roman" w:hAnsi="Times New Roman"/>
          <w:sz w:val="24"/>
          <w:szCs w:val="24"/>
        </w:rPr>
      </w:pPr>
      <w:r>
        <w:rPr>
          <w:rFonts w:ascii="Times New Roman" w:hAnsi="Times New Roman"/>
          <w:sz w:val="24"/>
          <w:szCs w:val="24"/>
          <w:shd w:val="clear" w:color="auto" w:fill="00FFFF"/>
        </w:rPr>
        <w:t xml:space="preserve">[For non-accredited beneficiaries </w:t>
      </w:r>
    </w:p>
    <w:p>
      <w:pPr>
        <w:jc w:val="both"/>
        <w:rPr>
          <w:rFonts w:ascii="Times New Roman" w:hAnsi="Times New Roman"/>
          <w:sz w:val="24"/>
          <w:szCs w:val="24"/>
        </w:rPr>
      </w:pPr>
      <w:r>
        <w:rPr>
          <w:rFonts w:ascii="Times New Roman" w:hAnsi="Times New Roman"/>
          <w:sz w:val="24"/>
          <w:szCs w:val="24"/>
        </w:rPr>
        <w:t>The final report will be assessed in conjunction with the participant reports, and  other project documentation required by this grant agreement and the Erasmus quality standards. The result of the evaluation will be a score out of  maximum 100 points. A common set of evaluation criteria will be used to measure</w:t>
      </w:r>
      <w:r>
        <w:t xml:space="preserve"> </w:t>
      </w:r>
      <w:r>
        <w:rPr>
          <w:rFonts w:ascii="Times New Roman" w:hAnsi="Times New Roman"/>
          <w:sz w:val="24"/>
          <w:szCs w:val="24"/>
        </w:rPr>
        <w:t>the extent to which the project was implemented in line with the approved grant application and the Erasmus quality standards.</w:t>
      </w:r>
    </w:p>
    <w:p>
      <w:pPr>
        <w:jc w:val="both"/>
        <w:rPr>
          <w:rFonts w:ascii="Times New Roman" w:hAnsi="Times New Roman"/>
          <w:sz w:val="24"/>
          <w:szCs w:val="24"/>
        </w:rPr>
      </w:pPr>
      <w:r>
        <w:rPr>
          <w:rFonts w:ascii="Times New Roman" w:hAnsi="Times New Roman"/>
          <w:sz w:val="24"/>
          <w:szCs w:val="24"/>
        </w:rPr>
        <w:t>The beneficiary must submit the final report after the project end date or whenever the foreseen activities have been completed.</w:t>
      </w:r>
    </w:p>
    <w:p>
      <w:pPr>
        <w:jc w:val="both"/>
        <w:rPr>
          <w:rFonts w:ascii="Times New Roman" w:hAnsi="Times New Roman"/>
          <w:sz w:val="24"/>
          <w:szCs w:val="24"/>
        </w:rPr>
      </w:pPr>
      <w:r>
        <w:rPr>
          <w:rFonts w:ascii="Times New Roman" w:hAnsi="Times New Roman"/>
          <w:sz w:val="24"/>
          <w:szCs w:val="24"/>
          <w:shd w:val="clear" w:color="auto" w:fill="00FFFF"/>
        </w:rPr>
        <w:t xml:space="preserve">[For accredited beneficiaries </w:t>
      </w:r>
    </w:p>
    <w:p>
      <w:pPr>
        <w:jc w:val="both"/>
        <w:rPr>
          <w:rFonts w:ascii="Times New Roman" w:hAnsi="Times New Roman"/>
          <w:sz w:val="24"/>
          <w:szCs w:val="24"/>
        </w:rPr>
      </w:pPr>
      <w:r>
        <w:rPr>
          <w:rFonts w:ascii="Times New Roman" w:hAnsi="Times New Roman"/>
          <w:sz w:val="24"/>
          <w:szCs w:val="24"/>
        </w:rPr>
        <w:t>The final report will be assessed in conjunction with the participant reports, and other project documentation required by this grant agreement and the Erasmus quality standards. The result of the evaluation will be a score out of maximum 100 points. A common set of evaluation criteria will be used to measure</w:t>
      </w:r>
      <w:r>
        <w:t xml:space="preserve"> </w:t>
      </w:r>
      <w:r>
        <w:rPr>
          <w:rFonts w:ascii="Times New Roman" w:hAnsi="Times New Roman"/>
          <w:sz w:val="24"/>
          <w:szCs w:val="24"/>
        </w:rPr>
        <w:t>the extent to which the project was implemented in line with the targets defined in Annex II of this Agreement, the approved Erasmus Plan, and the Erasmus quality standards.</w:t>
      </w:r>
    </w:p>
    <w:p>
      <w:pPr>
        <w:jc w:val="both"/>
        <w:rPr>
          <w:rFonts w:ascii="Times New Roman" w:hAnsi="Times New Roman"/>
          <w:sz w:val="24"/>
          <w:szCs w:val="24"/>
        </w:rPr>
      </w:pPr>
      <w:r>
        <w:rPr>
          <w:rFonts w:ascii="Times New Roman" w:hAnsi="Times New Roman"/>
          <w:sz w:val="24"/>
          <w:szCs w:val="24"/>
        </w:rPr>
        <w:t>The beneficiary must submit the final report after the project end date. Earlier submissions of the final report could  be considered as a request for premature termination of the Grant Agreement and may result in a lower evaluation score.</w:t>
      </w:r>
    </w:p>
    <w:p>
      <w:pPr>
        <w:pStyle w:val="Titre1"/>
        <w:numPr>
          <w:ilvl w:val="0"/>
          <w:numId w:val="125"/>
        </w:numPr>
      </w:pPr>
      <w:bookmarkStart w:id="5" w:name="_Toc72322258"/>
      <w:r>
        <w:t>GRANT REDUCTION FOR POOR, PARTIAL OR LATE IMPLEMENTATION</w:t>
      </w:r>
      <w:bookmarkEnd w:id="5"/>
    </w:p>
    <w:p>
      <w:pPr>
        <w:pStyle w:val="Corpsdetexte"/>
      </w:pPr>
    </w:p>
    <w:p>
      <w:pPr>
        <w:jc w:val="both"/>
        <w:rPr>
          <w:rFonts w:ascii="Times New Roman" w:hAnsi="Times New Roman"/>
          <w:sz w:val="24"/>
          <w:szCs w:val="24"/>
        </w:rPr>
      </w:pPr>
      <w:r>
        <w:rPr>
          <w:rFonts w:ascii="Times New Roman" w:hAnsi="Times New Roman"/>
          <w:sz w:val="24"/>
          <w:szCs w:val="24"/>
        </w:rPr>
        <w:lastRenderedPageBreak/>
        <w:t xml:space="preserve">Poor, partial or late implementation of the Project may be established by the NA on the basis of the final report submitted by the beneficiary (including reports from individual participants taking part in the mobility activities). </w:t>
      </w:r>
    </w:p>
    <w:p>
      <w:pPr>
        <w:jc w:val="both"/>
        <w:rPr>
          <w:rFonts w:ascii="Times New Roman" w:hAnsi="Times New Roman"/>
          <w:sz w:val="24"/>
          <w:szCs w:val="24"/>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accreditation interim reports, desk checks or on-the-spot checks undertaken by the NA.</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for organisational support on the basis of poor, partial or late implementation of the action even if all activities reported were eligible and actually took place. In that case, a grant reduction may correspond to:</w:t>
      </w:r>
    </w:p>
    <w:p>
      <w:pPr>
        <w:numPr>
          <w:ilvl w:val="0"/>
          <w:numId w:val="69"/>
        </w:numPr>
        <w:jc w:val="both"/>
        <w:rPr>
          <w:rFonts w:ascii="Times New Roman" w:hAnsi="Times New Roman"/>
          <w:sz w:val="24"/>
          <w:szCs w:val="24"/>
        </w:rPr>
      </w:pPr>
      <w:r>
        <w:rPr>
          <w:rFonts w:ascii="Times New Roman" w:hAnsi="Times New Roman"/>
          <w:sz w:val="24"/>
          <w:szCs w:val="24"/>
        </w:rPr>
        <w:t>10% if the final report scores at least 50 points and below 60 points;</w:t>
      </w:r>
    </w:p>
    <w:p>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69"/>
        </w:numPr>
        <w:jc w:val="both"/>
        <w:rPr>
          <w:rFonts w:ascii="Times New Roman" w:hAnsi="Times New Roman"/>
          <w:sz w:val="24"/>
          <w:szCs w:val="24"/>
        </w:rPr>
      </w:pPr>
      <w:r>
        <w:rPr>
          <w:rFonts w:ascii="Times New Roman" w:hAnsi="Times New Roman"/>
          <w:sz w:val="24"/>
          <w:szCs w:val="24"/>
        </w:rPr>
        <w:t>50% if the final report scores at least 25 points and below 40 points;</w:t>
      </w:r>
    </w:p>
    <w:p>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pPr>
        <w:pStyle w:val="Titre1"/>
        <w:numPr>
          <w:ilvl w:val="0"/>
          <w:numId w:val="125"/>
        </w:numPr>
        <w:rPr>
          <w:u w:val="single"/>
          <w:shd w:val="clear" w:color="auto" w:fill="00FFFF"/>
        </w:rPr>
      </w:pPr>
      <w:bookmarkStart w:id="6" w:name="_Toc72322259"/>
      <w:r>
        <w:t>GRANT MODIFICATIONS</w:t>
      </w:r>
      <w:bookmarkEnd w:id="6"/>
    </w:p>
    <w:p>
      <w:pPr>
        <w:pStyle w:val="Paragraphedeliste"/>
        <w:rPr>
          <w:u w:val="single"/>
          <w:shd w:val="clear" w:color="auto" w:fill="00FFFF"/>
        </w:rPr>
      </w:pPr>
    </w:p>
    <w:p>
      <w:pPr>
        <w:widowControl w:val="0"/>
        <w:spacing w:after="0" w:line="273" w:lineRule="auto"/>
        <w:jc w:val="both"/>
        <w:rPr>
          <w:rFonts w:ascii="Times New Roman" w:hAnsi="Times New Roman"/>
          <w:sz w:val="24"/>
          <w:szCs w:val="24"/>
          <w:u w:val="single"/>
          <w:shd w:val="clear" w:color="auto" w:fill="00FFFF"/>
        </w:rPr>
      </w:pPr>
    </w:p>
    <w:p>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 xml:space="preserve">[For accredited beneficiaries </w:t>
      </w:r>
    </w:p>
    <w:p>
      <w:pPr>
        <w:widowControl w:val="0"/>
        <w:spacing w:after="0" w:line="273" w:lineRule="auto"/>
        <w:jc w:val="both"/>
        <w:rPr>
          <w:rFonts w:ascii="Times New Roman" w:hAnsi="Times New Roman"/>
          <w:sz w:val="24"/>
          <w:szCs w:val="24"/>
          <w:u w:val="single"/>
        </w:rPr>
      </w:pPr>
    </w:p>
    <w:p>
      <w:pPr>
        <w:widowControl w:val="0"/>
        <w:spacing w:after="0" w:line="273" w:lineRule="auto"/>
        <w:jc w:val="both"/>
        <w:rPr>
          <w:rFonts w:ascii="Times New Roman" w:hAnsi="Times New Roman"/>
          <w:sz w:val="24"/>
          <w:szCs w:val="24"/>
        </w:rPr>
      </w:pPr>
      <w:r>
        <w:rPr>
          <w:rFonts w:ascii="Times New Roman" w:hAnsi="Times New Roman"/>
          <w:sz w:val="24"/>
          <w:szCs w:val="24"/>
        </w:rPr>
        <w:t>The total maximum grant amount indicated in Article I.3.1 may be increased with an amendment to the Grant Agreement under the following conditions:</w:t>
      </w:r>
    </w:p>
    <w:p>
      <w:pPr>
        <w:widowControl w:val="0"/>
        <w:spacing w:after="0" w:line="273" w:lineRule="auto"/>
        <w:jc w:val="both"/>
        <w:rPr>
          <w:rFonts w:ascii="Times New Roman" w:hAnsi="Times New Roman"/>
          <w:sz w:val="24"/>
          <w:szCs w:val="24"/>
          <w:u w:val="single"/>
        </w:rPr>
      </w:pPr>
    </w:p>
    <w:p>
      <w:pPr>
        <w:widowControl w:val="0"/>
        <w:spacing w:after="0" w:line="273" w:lineRule="auto"/>
        <w:ind w:left="720" w:hanging="720"/>
        <w:jc w:val="both"/>
        <w:rPr>
          <w:rFonts w:ascii="Times New Roman" w:hAnsi="Times New Roman"/>
          <w:color w:val="000000"/>
          <w:sz w:val="24"/>
          <w:szCs w:val="24"/>
        </w:rPr>
      </w:pPr>
      <w:r>
        <w:rPr>
          <w:rFonts w:ascii="Times New Roman" w:hAnsi="Times New Roman"/>
          <w:sz w:val="24"/>
          <w:szCs w:val="24"/>
        </w:rPr>
        <w:t>(a)</w:t>
      </w:r>
      <w:r>
        <w:rPr>
          <w:rFonts w:ascii="Times New Roman" w:hAnsi="Times New Roman"/>
          <w:sz w:val="24"/>
          <w:szCs w:val="24"/>
        </w:rPr>
        <w:tab/>
        <w:t>If additional funds become available to the NA for redistribution to accredited beneficiaries and under the condition that information provided by the beneficiary through the Erasmus+ reporting and management tool shows that they are able to implement additional mobility activities.</w:t>
      </w:r>
    </w:p>
    <w:p>
      <w:pPr>
        <w:widowControl w:val="0"/>
        <w:spacing w:after="0" w:line="273" w:lineRule="auto"/>
        <w:ind w:left="1080"/>
        <w:jc w:val="both"/>
        <w:rPr>
          <w:rFonts w:ascii="Times New Roman" w:hAnsi="Times New Roman"/>
          <w:color w:val="000000"/>
          <w:sz w:val="24"/>
          <w:szCs w:val="24"/>
        </w:rPr>
      </w:pPr>
    </w:p>
    <w:p>
      <w:pPr>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Up until the expiry of 12 months from the start of the project, the beneficiary may submit justified requests for additional funds for exceptional costs and inclusion support for participants if these additional needs cannot be covered with a transfer of funds within the existing grant amount without negatively affecting the delivery of targets specified in Annex II.</w:t>
      </w:r>
    </w:p>
    <w:p>
      <w:pPr>
        <w:ind w:left="720" w:hanging="720"/>
        <w:jc w:val="both"/>
        <w:rPr>
          <w:rFonts w:ascii="Times New Roman" w:hAnsi="Times New Roman"/>
          <w:sz w:val="24"/>
          <w:szCs w:val="24"/>
        </w:rPr>
      </w:pPr>
      <w:r>
        <w:rPr>
          <w:rFonts w:ascii="Times New Roman" w:hAnsi="Times New Roman"/>
          <w:sz w:val="24"/>
          <w:szCs w:val="24"/>
        </w:rPr>
        <w:lastRenderedPageBreak/>
        <w:tab/>
        <w:t xml:space="preserve">The National Agency will consider such requests if funds remain available for this purpose. In case a request for additional funds is approved, the National Agency shall assess if the amendment for additional funds must be made immediately, or at a later stage. </w:t>
      </w:r>
    </w:p>
    <w:p>
      <w:pPr>
        <w:ind w:left="720" w:hanging="720"/>
        <w:jc w:val="both"/>
        <w:rPr>
          <w:rFonts w:ascii="Times New Roman" w:eastAsia="SimSun" w:hAnsi="Times New Roman"/>
          <w:b/>
          <w:kern w:val="1"/>
          <w:sz w:val="24"/>
          <w:szCs w:val="24"/>
        </w:rPr>
      </w:pPr>
      <w:r>
        <w:rPr>
          <w:rFonts w:ascii="Times New Roman" w:hAnsi="Times New Roman"/>
          <w:sz w:val="24"/>
          <w:szCs w:val="24"/>
        </w:rPr>
        <w:tab/>
        <w:t>The National Agency shall make its assessment based on the pre-financing amount already paid to the beneficiary, the amount of additional funds requested, and the nature of the expenses to be approved. The National Agency shall issue the required amendment as a matter of urgency if it is necessary for the beneficiary to comply with rules on provision of inclusion support for participants, as specified in the Special Conditions.]</w:t>
      </w:r>
    </w:p>
    <w:p>
      <w:pPr>
        <w:pStyle w:val="Titre1"/>
        <w:numPr>
          <w:ilvl w:val="0"/>
          <w:numId w:val="125"/>
        </w:numPr>
      </w:pPr>
      <w:bookmarkStart w:id="7" w:name="_Toc72322260"/>
      <w:r>
        <w:t>CHECKS OF GRANT BENEFICIARY AND PROVISION OF SUPPORTING DOCUMENTS</w:t>
      </w:r>
      <w:bookmarkEnd w:id="7"/>
    </w:p>
    <w:p>
      <w:pPr>
        <w:pStyle w:val="Corpsdetexte"/>
      </w:pPr>
    </w:p>
    <w:p>
      <w:pPr>
        <w:jc w:val="both"/>
        <w:rPr>
          <w:rFonts w:ascii="Times New Roman" w:hAnsi="Times New Roman"/>
          <w:sz w:val="24"/>
          <w:szCs w:val="24"/>
        </w:rPr>
      </w:pPr>
      <w:r>
        <w:rPr>
          <w:rFonts w:ascii="Times New Roman" w:hAnsi="Times New Roman"/>
          <w:sz w:val="24"/>
          <w:szCs w:val="24"/>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pPr>
        <w:jc w:val="both"/>
        <w:rPr>
          <w:rFonts w:ascii="Times New Roman" w:hAnsi="Times New Roman"/>
          <w:sz w:val="24"/>
          <w:szCs w:val="24"/>
        </w:rPr>
      </w:pPr>
      <w:r>
        <w:rPr>
          <w:rFonts w:ascii="Times New Roman" w:hAnsi="Times New Roman"/>
          <w:sz w:val="24"/>
          <w:szCs w:val="24"/>
        </w:rPr>
        <w:t>A final report check must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pPr>
        <w:jc w:val="both"/>
      </w:pPr>
      <w:r>
        <w:rPr>
          <w:rFonts w:ascii="Times New Roman" w:hAnsi="Times New Roman"/>
          <w:sz w:val="24"/>
          <w:szCs w:val="24"/>
        </w:rPr>
        <w:t>For final report check and desk check, the beneficiary must supply to the NA physical or electronic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a copy of the supporting documents may be sent instead.</w:t>
      </w:r>
    </w:p>
    <w:p>
      <w:pPr>
        <w:jc w:val="both"/>
      </w:pPr>
      <w:r>
        <w:rPr>
          <w:rFonts w:ascii="Times New Roman" w:hAnsi="Times New Roman"/>
          <w:sz w:val="24"/>
          <w:szCs w:val="24"/>
        </w:rPr>
        <w:t>For any type of check the beneficiary may be requested by the NA to provide additional supporting documents or evidence that are typically required for another type of check, as specified in Article II.27 of the General Conditions.</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lastRenderedPageBreak/>
        <w:t>The different checks must include the following:</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Final report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pPr>
        <w:jc w:val="both"/>
      </w:pPr>
      <w:r>
        <w:rPr>
          <w:rFonts w:ascii="Times New Roman" w:eastAsia="SimSun" w:hAnsi="Times New Roman"/>
          <w:kern w:val="1"/>
          <w:sz w:val="24"/>
          <w:szCs w:val="24"/>
        </w:rPr>
        <w:t>The beneficiary’s final report to the National Agency must include the following information (if applicable within the action format and project concerned):</w:t>
      </w:r>
    </w:p>
    <w:p>
      <w:pPr>
        <w:pStyle w:val="Paragraphedelist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Organisational support</w:t>
      </w:r>
    </w:p>
    <w:p>
      <w:pPr>
        <w:pStyle w:val="Paragraphedeliste"/>
        <w:numPr>
          <w:ilvl w:val="1"/>
          <w:numId w:val="40"/>
        </w:numPr>
        <w:jc w:val="both"/>
      </w:pPr>
      <w:r>
        <w:rPr>
          <w:rFonts w:ascii="Times New Roman" w:hAnsi="Times New Roman"/>
          <w:kern w:val="1"/>
          <w:sz w:val="24"/>
          <w:szCs w:val="24"/>
        </w:rPr>
        <w:t>Travel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Inclusion support for organisations</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pPr>
        <w:pStyle w:val="Paragraphedeliste"/>
        <w:jc w:val="both"/>
        <w:rPr>
          <w:rFonts w:ascii="Times New Roman" w:hAnsi="Times New Roman"/>
          <w:kern w:val="1"/>
          <w:sz w:val="24"/>
          <w:szCs w:val="24"/>
        </w:rPr>
      </w:pPr>
    </w:p>
    <w:p>
      <w:pPr>
        <w:pStyle w:val="Paragraphedeliste"/>
        <w:numPr>
          <w:ilvl w:val="0"/>
          <w:numId w:val="40"/>
        </w:numPr>
        <w:jc w:val="both"/>
      </w:pPr>
      <w:r>
        <w:rPr>
          <w:rFonts w:ascii="Times New Roman" w:hAnsi="Times New Roman"/>
          <w:kern w:val="1"/>
          <w:sz w:val="24"/>
          <w:szCs w:val="24"/>
        </w:rPr>
        <w:t>Actual costs incurred for budget categories: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 xml:space="preserve">Inclusion support for participants </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pPr>
        <w:pStyle w:val="Paragraphedeliste"/>
        <w:numPr>
          <w:ilvl w:val="1"/>
          <w:numId w:val="40"/>
        </w:numPr>
        <w:tabs>
          <w:tab w:val="clear" w:pos="0"/>
        </w:tabs>
        <w:ind w:left="1418"/>
        <w:jc w:val="both"/>
        <w:rPr>
          <w:rFonts w:ascii="Times New Roman" w:hAnsi="Times New Roman" w:cs="Times New Roman"/>
          <w:kern w:val="1"/>
          <w:sz w:val="24"/>
          <w:szCs w:val="24"/>
        </w:rPr>
      </w:pPr>
      <w:r>
        <w:rPr>
          <w:rFonts w:ascii="Times New Roman" w:hAnsi="Times New Roman"/>
          <w:kern w:val="1"/>
          <w:sz w:val="24"/>
          <w:szCs w:val="24"/>
        </w:rPr>
        <w:t>[</w:t>
      </w:r>
      <w:r>
        <w:rPr>
          <w:rFonts w:ascii="Times New Roman" w:hAnsi="Times New Roman"/>
          <w:kern w:val="1"/>
          <w:sz w:val="24"/>
          <w:szCs w:val="24"/>
          <w:highlight w:val="cyan"/>
        </w:rPr>
        <w:t>for youth workers</w:t>
      </w:r>
      <w:r>
        <w:rPr>
          <w:rFonts w:ascii="Times New Roman" w:hAnsi="Times New Roman"/>
          <w:kern w:val="1"/>
          <w:sz w:val="24"/>
          <w:szCs w:val="24"/>
        </w:rPr>
        <w:t>: Complementary activities for Youth Workers Mobility</w:t>
      </w:r>
    </w:p>
    <w:p>
      <w:pPr>
        <w:pStyle w:val="Paragraphedeliste"/>
        <w:ind w:left="0"/>
        <w:jc w:val="both"/>
        <w:rPr>
          <w:rFonts w:ascii="Times New Roman" w:hAnsi="Times New Roman" w:cs="Times New Roman"/>
          <w:kern w:val="1"/>
          <w:sz w:val="24"/>
          <w:szCs w:val="24"/>
        </w:rPr>
      </w:pP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Desk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Desk check is an in-depth check of supporting documents at the NA premises that may be conducted at or after the final report stage.</w:t>
      </w:r>
      <w:r>
        <w:rPr>
          <w:rFonts w:ascii="Times New Roman" w:eastAsia="SimSun" w:hAnsi="Times New Roman"/>
          <w:kern w:val="1"/>
          <w:sz w:val="24"/>
          <w:szCs w:val="24"/>
        </w:rPr>
        <w:t xml:space="preserve"> Upon request, the beneficiary must submit to the National Agency the s</w:t>
      </w:r>
      <w:r>
        <w:rPr>
          <w:rFonts w:ascii="Times New Roman" w:hAnsi="Times New Roman"/>
          <w:kern w:val="1"/>
          <w:sz w:val="24"/>
          <w:szCs w:val="24"/>
        </w:rPr>
        <w:t>upporting documents for all budget categories.</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 xml:space="preserve">On-the-spot </w:t>
      </w:r>
      <w:r>
        <w:rPr>
          <w:rFonts w:ascii="Times New Roman" w:hAnsi="Times New Roman"/>
          <w:b/>
          <w:bCs/>
          <w:sz w:val="24"/>
          <w:szCs w:val="24"/>
        </w:rPr>
        <w:t>checks</w:t>
      </w:r>
    </w:p>
    <w:p>
      <w:pPr>
        <w:pStyle w:val="Paragraphedeliste"/>
        <w:jc w:val="both"/>
        <w:rPr>
          <w:rFonts w:ascii="Times New Roman" w:hAnsi="Times New Roman"/>
          <w:b/>
          <w:kern w:val="1"/>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On-the-spot checks are performed by the NA at the premises of the beneficiary or at any other premises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beneficiary must make original supporting documentation for all budget categories available for review by the National Agency, and must enable the National Agency access to the recording of project expenses in the beneficiary’s accounts.</w:t>
      </w:r>
    </w:p>
    <w:p>
      <w:pPr>
        <w:jc w:val="both"/>
      </w:pPr>
      <w:r>
        <w:rPr>
          <w:rFonts w:ascii="Times New Roman" w:hAnsi="Times New Roman"/>
          <w:sz w:val="24"/>
          <w:szCs w:val="24"/>
        </w:rPr>
        <w:t>On-the-spot checks can take the following forms:</w:t>
      </w:r>
    </w:p>
    <w:p>
      <w:pPr>
        <w:numPr>
          <w:ilvl w:val="0"/>
          <w:numId w:val="56"/>
        </w:numPr>
        <w:ind w:left="426" w:hanging="284"/>
        <w:jc w:val="both"/>
      </w:pPr>
      <w:r>
        <w:rPr>
          <w:rFonts w:ascii="Times New Roman" w:eastAsia="SimSun" w:hAnsi="Times New Roman"/>
          <w:b/>
          <w:bCs/>
          <w:kern w:val="1"/>
          <w:sz w:val="24"/>
          <w:szCs w:val="24"/>
        </w:rPr>
        <w:t>On-the-spot check during project implementation</w:t>
      </w:r>
      <w:r>
        <w:rPr>
          <w:rFonts w:ascii="Times New Roman" w:hAnsi="Times New Roman"/>
          <w:sz w:val="24"/>
          <w:szCs w:val="24"/>
        </w:rPr>
        <w:t>: this check is undertaken during the implementation of the Project in order for</w:t>
      </w:r>
      <w:r>
        <w:rPr>
          <w:rFonts w:ascii="Times New Roman" w:eastAsia="SimSun" w:hAnsi="Times New Roman"/>
          <w:kern w:val="1"/>
          <w:sz w:val="24"/>
          <w:szCs w:val="24"/>
        </w:rPr>
        <w:t xml:space="preserve"> the National Agency to directly verify the reality and eligibility of all project activities and participants.</w:t>
      </w:r>
    </w:p>
    <w:p>
      <w:pPr>
        <w:numPr>
          <w:ilvl w:val="0"/>
          <w:numId w:val="56"/>
        </w:numPr>
        <w:ind w:left="426" w:hanging="284"/>
        <w:jc w:val="both"/>
        <w:rPr>
          <w:rFonts w:ascii="Times New Roman" w:eastAsia="SimSun" w:hAnsi="Times New Roman"/>
          <w:kern w:val="1"/>
          <w:sz w:val="24"/>
          <w:szCs w:val="24"/>
        </w:rPr>
      </w:pPr>
      <w:r>
        <w:rPr>
          <w:rFonts w:ascii="Times New Roman" w:eastAsia="SimSun" w:hAnsi="Times New Roman"/>
          <w:b/>
          <w:bCs/>
          <w:kern w:val="1"/>
          <w:sz w:val="24"/>
          <w:szCs w:val="24"/>
        </w:rPr>
        <w:t>On-the-spot check after completion of the project</w:t>
      </w:r>
      <w:r>
        <w:rPr>
          <w:rFonts w:ascii="Times New Roman" w:hAnsi="Times New Roman"/>
          <w:sz w:val="24"/>
          <w:szCs w:val="24"/>
        </w:rPr>
        <w:t>: this check is undertaken after the end of the Project and usually after the final report check.</w:t>
      </w:r>
    </w:p>
    <w:p>
      <w:pPr>
        <w:jc w:val="both"/>
      </w:pPr>
      <w:r>
        <w:rPr>
          <w:rFonts w:ascii="Times New Roman" w:eastAsia="SimSun" w:hAnsi="Times New Roman"/>
          <w:kern w:val="1"/>
          <w:sz w:val="24"/>
          <w:szCs w:val="24"/>
          <w:shd w:val="clear" w:color="auto" w:fill="00FFFF"/>
        </w:rPr>
        <w:lastRenderedPageBreak/>
        <w:t>[For accredited beneficiaries</w:t>
      </w:r>
    </w:p>
    <w:p>
      <w:pPr>
        <w:numPr>
          <w:ilvl w:val="0"/>
          <w:numId w:val="56"/>
        </w:numPr>
        <w:ind w:left="426" w:hanging="284"/>
        <w:jc w:val="both"/>
        <w:rPr>
          <w:rFonts w:ascii="Times New Roman" w:eastAsia="SimSun" w:hAnsi="Times New Roman"/>
          <w:kern w:val="1"/>
          <w:sz w:val="24"/>
          <w:szCs w:val="24"/>
        </w:rPr>
      </w:pPr>
      <w:r>
        <w:rPr>
          <w:rFonts w:ascii="Times New Roman" w:eastAsia="SimSun" w:hAnsi="Times New Roman"/>
          <w:b/>
          <w:bCs/>
          <w:iCs/>
          <w:kern w:val="1"/>
          <w:sz w:val="24"/>
          <w:szCs w:val="24"/>
        </w:rPr>
        <w:t>Systems check</w:t>
      </w:r>
    </w:p>
    <w:p>
      <w:pPr>
        <w:jc w:val="both"/>
      </w:pPr>
      <w:r>
        <w:rPr>
          <w:rFonts w:ascii="Times New Roman" w:eastAsia="SimSun" w:hAnsi="Times New Roman"/>
          <w:kern w:val="1"/>
          <w:sz w:val="24"/>
          <w:szCs w:val="24"/>
        </w:rPr>
        <w:t>The systems check is performed to establish the beneficiary's system for making its regular grant claims in the context of the programme as well as it compliance with the commitments undertaken as a result of their accreditation. The systems check is performed to establish the beneficiary's compliance with the implementation standards committed to in the framework of the Erasmus+ Programme. The beneficiary must enable the National Agency to verify the reality and eligibility of all project activities and participants by all documentary means, including video and photographic records of the activities undertaken, in order to rule out double funding or other irregularities.</w:t>
      </w:r>
    </w:p>
    <w:sectPr>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5</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01A7577"/>
    <w:multiLevelType w:val="multilevel"/>
    <w:tmpl w:val="318A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4"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6" w15:restartNumberingAfterBreak="0">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7"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8"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3"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7"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9"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2"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8"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9"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1"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4" w15:restartNumberingAfterBreak="0">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5"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7" w15:restartNumberingAfterBreak="0">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120"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1"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3"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5"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6"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8"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2"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3" w15:restartNumberingAfterBreak="0">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13"/>
  </w:num>
  <w:num w:numId="49">
    <w:abstractNumId w:val="124"/>
  </w:num>
  <w:num w:numId="50">
    <w:abstractNumId w:val="119"/>
  </w:num>
  <w:num w:numId="51">
    <w:abstractNumId w:val="78"/>
  </w:num>
  <w:num w:numId="52">
    <w:abstractNumId w:val="77"/>
  </w:num>
  <w:num w:numId="53">
    <w:abstractNumId w:val="101"/>
  </w:num>
  <w:num w:numId="54">
    <w:abstractNumId w:val="123"/>
  </w:num>
  <w:num w:numId="55">
    <w:abstractNumId w:val="90"/>
  </w:num>
  <w:num w:numId="56">
    <w:abstractNumId w:val="87"/>
  </w:num>
  <w:num w:numId="57">
    <w:abstractNumId w:val="99"/>
  </w:num>
  <w:num w:numId="58">
    <w:abstractNumId w:val="98"/>
  </w:num>
  <w:num w:numId="59">
    <w:abstractNumId w:val="114"/>
  </w:num>
  <w:num w:numId="60">
    <w:abstractNumId w:val="103"/>
  </w:num>
  <w:num w:numId="61">
    <w:abstractNumId w:val="104"/>
  </w:num>
  <w:num w:numId="62">
    <w:abstractNumId w:val="83"/>
  </w:num>
  <w:num w:numId="63">
    <w:abstractNumId w:val="111"/>
  </w:num>
  <w:num w:numId="64">
    <w:abstractNumId w:val="94"/>
  </w:num>
  <w:num w:numId="65">
    <w:abstractNumId w:val="129"/>
  </w:num>
  <w:num w:numId="66">
    <w:abstractNumId w:val="79"/>
  </w:num>
  <w:num w:numId="67">
    <w:abstractNumId w:val="88"/>
  </w:num>
  <w:num w:numId="68">
    <w:abstractNumId w:val="97"/>
  </w:num>
  <w:num w:numId="69">
    <w:abstractNumId w:val="118"/>
  </w:num>
  <w:num w:numId="70">
    <w:abstractNumId w:val="107"/>
  </w:num>
  <w:num w:numId="71">
    <w:abstractNumId w:val="76"/>
  </w:num>
  <w:num w:numId="72">
    <w:abstractNumId w:val="127"/>
  </w:num>
  <w:num w:numId="73">
    <w:abstractNumId w:val="95"/>
  </w:num>
  <w:num w:numId="74">
    <w:abstractNumId w:val="82"/>
  </w:num>
  <w:num w:numId="75">
    <w:abstractNumId w:val="84"/>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num>
  <w:num w:numId="106">
    <w:abstractNumId w:val="125"/>
  </w:num>
  <w:num w:numId="107">
    <w:abstractNumId w:val="108"/>
  </w:num>
  <w:num w:numId="108">
    <w:abstractNumId w:val="85"/>
  </w:num>
  <w:num w:numId="109">
    <w:abstractNumId w:val="96"/>
  </w:num>
  <w:num w:numId="110">
    <w:abstractNumId w:val="116"/>
  </w:num>
  <w:num w:numId="111">
    <w:abstractNumId w:val="126"/>
  </w:num>
  <w:num w:numId="112">
    <w:abstractNumId w:val="110"/>
  </w:num>
  <w:num w:numId="113">
    <w:abstractNumId w:val="131"/>
  </w:num>
  <w:num w:numId="114">
    <w:abstractNumId w:val="122"/>
  </w:num>
  <w:num w:numId="115">
    <w:abstractNumId w:val="102"/>
  </w:num>
  <w:num w:numId="116">
    <w:abstractNumId w:val="128"/>
  </w:num>
  <w:num w:numId="117">
    <w:abstractNumId w:val="120"/>
  </w:num>
  <w:num w:numId="118">
    <w:abstractNumId w:val="132"/>
  </w:num>
  <w:num w:numId="119">
    <w:abstractNumId w:val="89"/>
  </w:num>
  <w:num w:numId="120">
    <w:abstractNumId w:val="106"/>
  </w:num>
  <w:num w:numId="121">
    <w:abstractNumId w:val="121"/>
    <w:lvlOverride w:ilvl="0">
      <w:startOverride w:val="1"/>
    </w:lvlOverride>
    <w:lvlOverride w:ilvl="1"/>
    <w:lvlOverride w:ilvl="2"/>
    <w:lvlOverride w:ilvl="3"/>
    <w:lvlOverride w:ilvl="4"/>
    <w:lvlOverride w:ilvl="5"/>
    <w:lvlOverride w:ilvl="6"/>
    <w:lvlOverride w:ilvl="7"/>
    <w:lvlOverride w:ilvl="8"/>
  </w:num>
  <w:num w:numId="122">
    <w:abstractNumId w:val="93"/>
  </w:num>
  <w:num w:numId="123">
    <w:abstractNumId w:val="109"/>
  </w:num>
  <w:num w:numId="124">
    <w:abstractNumId w:val="112"/>
  </w:num>
  <w:num w:numId="125">
    <w:abstractNumId w:val="13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5"/>
  </w:num>
  <w:num w:numId="135">
    <w:abstractNumId w:val="100"/>
  </w:num>
  <w:num w:numId="136">
    <w:abstractNumId w:val="80"/>
  </w:num>
  <w:num w:numId="137">
    <w:abstractNumId w:val="3"/>
  </w:num>
  <w:num w:numId="138">
    <w:abstractNumId w:val="91"/>
  </w:num>
  <w:num w:numId="139">
    <w:abstractNumId w:val="92"/>
  </w:num>
  <w:num w:numId="140">
    <w:abstractNumId w:val="86"/>
  </w:num>
  <w:num w:numId="141">
    <w:abstractNumId w:val="117"/>
  </w:num>
  <w:num w:numId="142">
    <w:abstractNumId w:val="13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stepuces"/>
    <w:link w:val="Heading1Char0"/>
    <w:qFormat/>
    <w:rPr>
      <w:b/>
      <w:bCs/>
      <w:lang w:val="en-U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en-US"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en-US"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2"/>
      <w:szCs w:val="22"/>
      <w:lang w:eastAsia="ar-SA"/>
    </w:rPr>
  </w:style>
  <w:style w:type="character" w:styleId="lev">
    <w:name w:val="Strong"/>
    <w:basedOn w:val="Policepardfaut"/>
    <w:uiPriority w:val="22"/>
    <w:qFormat/>
    <w:rPr>
      <w:b/>
      <w:bCs/>
    </w:rPr>
  </w:style>
  <w:style w:type="character" w:customStyle="1" w:styleId="see-footnote">
    <w:name w:val="see-footnote"/>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73930549">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322852499">
      <w:bodyDiv w:val="1"/>
      <w:marLeft w:val="0"/>
      <w:marRight w:val="0"/>
      <w:marTop w:val="0"/>
      <w:marBottom w:val="0"/>
      <w:divBdr>
        <w:top w:val="none" w:sz="0" w:space="0" w:color="auto"/>
        <w:left w:val="none" w:sz="0" w:space="0" w:color="auto"/>
        <w:bottom w:val="none" w:sz="0" w:space="0" w:color="auto"/>
        <w:right w:val="none" w:sz="0" w:space="0" w:color="auto"/>
      </w:divBdr>
    </w:div>
    <w:div w:id="1739130276">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1882010053">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606B-EA50-44B0-BEED-F872E014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D68D77DA-6AD9-4A67-80F9-6739CCA0BCB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cfd06d9f-862c-4359-9a69-c66ff689f26a"/>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236A08A-5B1D-497A-9890-FE88F548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3732</Words>
  <Characters>20532</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DEMEUTER Anne</cp:lastModifiedBy>
  <cp:revision>2</cp:revision>
  <cp:lastPrinted>2019-12-10T09:09:00Z</cp:lastPrinted>
  <dcterms:created xsi:type="dcterms:W3CDTF">2022-06-14T13:55:00Z</dcterms:created>
  <dcterms:modified xsi:type="dcterms:W3CDTF">2022-06-14T13:55:00Z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0x010100258AA79CEB83498886A3A0868112325000C1490CE060273747A60689B6E70012AE</vt:lpwstr>
  </property>
</Properties>
</file>