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6A" w:rsidRDefault="009E5DDE" w:rsidP="00B228D1">
      <w:pPr>
        <w:ind w:left="993" w:hanging="426"/>
        <w:rPr>
          <w:rFonts w:ascii="Calibri" w:hAnsi="Calibri" w:cs="Calibri"/>
          <w:b/>
          <w:u w:val="single"/>
        </w:rPr>
      </w:pPr>
      <w:r>
        <w:rPr>
          <w:noProof/>
          <w:lang w:val="fr-BE" w:eastAsia="fr-BE"/>
        </w:rPr>
        <w:drawing>
          <wp:anchor distT="0" distB="0" distL="114300" distR="114300" simplePos="0" relativeHeight="251659264" behindDoc="0" locked="0" layoutInCell="1" allowOverlap="1">
            <wp:simplePos x="0" y="0"/>
            <wp:positionH relativeFrom="column">
              <wp:posOffset>-318770</wp:posOffset>
            </wp:positionH>
            <wp:positionV relativeFrom="paragraph">
              <wp:posOffset>0</wp:posOffset>
            </wp:positionV>
            <wp:extent cx="2466975" cy="5721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sfr.tif"/>
                    <pic:cNvPicPr/>
                  </pic:nvPicPr>
                  <pic:blipFill>
                    <a:blip r:embed="rId5">
                      <a:extLst>
                        <a:ext uri="{28A0092B-C50C-407E-A947-70E740481C1C}">
                          <a14:useLocalDpi xmlns:a14="http://schemas.microsoft.com/office/drawing/2010/main" val="0"/>
                        </a:ext>
                      </a:extLst>
                    </a:blip>
                    <a:stretch>
                      <a:fillRect/>
                    </a:stretch>
                  </pic:blipFill>
                  <pic:spPr>
                    <a:xfrm>
                      <a:off x="0" y="0"/>
                      <a:ext cx="2466975" cy="572135"/>
                    </a:xfrm>
                    <a:prstGeom prst="rect">
                      <a:avLst/>
                    </a:prstGeom>
                  </pic:spPr>
                </pic:pic>
              </a:graphicData>
            </a:graphic>
            <wp14:sizeRelH relativeFrom="page">
              <wp14:pctWidth>0</wp14:pctWidth>
            </wp14:sizeRelH>
            <wp14:sizeRelV relativeFrom="page">
              <wp14:pctHeight>0</wp14:pctHeight>
            </wp14:sizeRelV>
          </wp:anchor>
        </w:drawing>
      </w:r>
      <w:r w:rsidR="00366619">
        <w:rPr>
          <w:noProof/>
          <w:lang w:val="fr-BE" w:eastAsia="fr-BE"/>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-457200</wp:posOffset>
            </wp:positionV>
            <wp:extent cx="1080135" cy="545465"/>
            <wp:effectExtent l="0" t="0" r="5715" b="6985"/>
            <wp:wrapTopAndBottom/>
            <wp:docPr id="2" name="Image 4" descr="http://users.skynet.be/bij/images/bij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users.skynet.be/bij/images/bijsign.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80135" cy="545465"/>
                    </a:xfrm>
                    <a:prstGeom prst="rect">
                      <a:avLst/>
                    </a:prstGeom>
                    <a:noFill/>
                  </pic:spPr>
                </pic:pic>
              </a:graphicData>
            </a:graphic>
            <wp14:sizeRelH relativeFrom="page">
              <wp14:pctWidth>0</wp14:pctWidth>
            </wp14:sizeRelH>
            <wp14:sizeRelV relativeFrom="page">
              <wp14:pctHeight>0</wp14:pctHeight>
            </wp14:sizeRelV>
          </wp:anchor>
        </w:drawing>
      </w:r>
    </w:p>
    <w:p w:rsidR="0094486A" w:rsidRDefault="0094486A" w:rsidP="00B228D1">
      <w:pPr>
        <w:ind w:left="993" w:hanging="426"/>
        <w:rPr>
          <w:rFonts w:ascii="Calibri" w:hAnsi="Calibri" w:cs="Calibri"/>
          <w:b/>
          <w:u w:val="single"/>
        </w:rPr>
      </w:pPr>
    </w:p>
    <w:p w:rsidR="0094486A" w:rsidRPr="00E571CA" w:rsidRDefault="00C54246" w:rsidP="00C54246">
      <w:pPr>
        <w:pBdr>
          <w:top w:val="single" w:sz="4" w:space="1" w:color="auto"/>
          <w:left w:val="single" w:sz="4" w:space="4" w:color="auto"/>
          <w:bottom w:val="single" w:sz="4" w:space="1" w:color="auto"/>
          <w:right w:val="single" w:sz="4" w:space="4" w:color="auto"/>
        </w:pBdr>
        <w:tabs>
          <w:tab w:val="left" w:pos="750"/>
          <w:tab w:val="center" w:pos="4749"/>
        </w:tabs>
        <w:ind w:right="-426"/>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0094486A" w:rsidRPr="00E571CA">
        <w:rPr>
          <w:rFonts w:ascii="Calibri" w:hAnsi="Calibri" w:cs="Calibri"/>
          <w:b/>
          <w:sz w:val="28"/>
          <w:szCs w:val="28"/>
        </w:rPr>
        <w:t xml:space="preserve">Le processus de sélection des projets </w:t>
      </w:r>
      <w:r w:rsidR="009E5DDE">
        <w:rPr>
          <w:rFonts w:ascii="Calibri" w:hAnsi="Calibri" w:cs="Calibri"/>
          <w:b/>
          <w:sz w:val="28"/>
          <w:szCs w:val="28"/>
        </w:rPr>
        <w:t>Cors européen de solidarité</w:t>
      </w:r>
    </w:p>
    <w:p w:rsidR="0094486A" w:rsidRDefault="0094486A" w:rsidP="00B228D1">
      <w:pPr>
        <w:ind w:left="993" w:right="-426" w:hanging="426"/>
        <w:rPr>
          <w:rFonts w:cs="Calibri"/>
          <w:b/>
        </w:rPr>
      </w:pPr>
    </w:p>
    <w:p w:rsidR="0094486A" w:rsidRPr="00E571CA" w:rsidRDefault="0094486A" w:rsidP="00596EAE">
      <w:pPr>
        <w:ind w:right="-426"/>
        <w:rPr>
          <w:rFonts w:ascii="Calibri" w:hAnsi="Calibri" w:cs="Calibri"/>
          <w:b/>
          <w:sz w:val="22"/>
          <w:szCs w:val="22"/>
        </w:rPr>
      </w:pPr>
      <w:r w:rsidRPr="00E571CA">
        <w:rPr>
          <w:rFonts w:ascii="Calibri" w:hAnsi="Calibri" w:cs="Calibri"/>
          <w:b/>
          <w:sz w:val="22"/>
          <w:szCs w:val="22"/>
        </w:rPr>
        <w:t xml:space="preserve">Le processus de sélection est établi sur base des principes et règles établis par la Commission européenne dans le </w:t>
      </w:r>
      <w:r w:rsidRPr="00E571CA">
        <w:rPr>
          <w:rFonts w:ascii="Calibri" w:hAnsi="Calibri" w:cs="Calibri"/>
          <w:b/>
          <w:i/>
          <w:sz w:val="22"/>
          <w:szCs w:val="22"/>
        </w:rPr>
        <w:t>Guide des Agences nationales.</w:t>
      </w:r>
    </w:p>
    <w:p w:rsidR="0094486A" w:rsidRPr="00E571CA" w:rsidRDefault="0094486A" w:rsidP="00B228D1">
      <w:pPr>
        <w:ind w:left="993" w:right="-426" w:hanging="426"/>
        <w:rPr>
          <w:rFonts w:ascii="Calibri" w:hAnsi="Calibri" w:cs="Calibri"/>
          <w:b/>
          <w:sz w:val="22"/>
          <w:szCs w:val="22"/>
        </w:rPr>
      </w:pPr>
    </w:p>
    <w:p w:rsidR="0094486A" w:rsidRDefault="0094486A" w:rsidP="00596EAE">
      <w:pPr>
        <w:ind w:left="426" w:right="-426" w:hanging="426"/>
        <w:rPr>
          <w:rFonts w:ascii="Calibri" w:hAnsi="Calibri" w:cs="Calibri"/>
          <w:b/>
          <w:sz w:val="22"/>
          <w:szCs w:val="22"/>
          <w:u w:val="single"/>
        </w:rPr>
      </w:pPr>
      <w:r w:rsidRPr="00E571CA">
        <w:rPr>
          <w:rFonts w:ascii="Calibri" w:hAnsi="Calibri" w:cs="Calibri"/>
          <w:b/>
          <w:sz w:val="22"/>
          <w:szCs w:val="22"/>
        </w:rPr>
        <w:t>1/</w:t>
      </w:r>
      <w:r w:rsidRPr="00E571CA">
        <w:rPr>
          <w:rFonts w:ascii="Calibri" w:hAnsi="Calibri" w:cs="Calibri"/>
          <w:b/>
          <w:sz w:val="22"/>
          <w:szCs w:val="22"/>
          <w:u w:val="single"/>
        </w:rPr>
        <w:t xml:space="preserve"> Analyse de l’éligibilité des projets</w:t>
      </w:r>
    </w:p>
    <w:p w:rsidR="0094486A" w:rsidRDefault="0094486A" w:rsidP="00B228D1">
      <w:pPr>
        <w:ind w:left="993" w:right="-426" w:hanging="426"/>
        <w:rPr>
          <w:rFonts w:ascii="Calibri" w:hAnsi="Calibri" w:cs="Calibri"/>
          <w:b/>
          <w:sz w:val="22"/>
          <w:szCs w:val="22"/>
          <w:u w:val="single"/>
        </w:rPr>
      </w:pPr>
    </w:p>
    <w:p w:rsidR="0094486A" w:rsidRPr="00E571CA" w:rsidRDefault="0094486A" w:rsidP="00596EAE">
      <w:pPr>
        <w:pStyle w:val="Paragraphedeliste"/>
        <w:numPr>
          <w:ilvl w:val="0"/>
          <w:numId w:val="2"/>
        </w:numPr>
        <w:spacing w:after="200" w:line="276" w:lineRule="auto"/>
        <w:ind w:right="-142"/>
        <w:rPr>
          <w:rFonts w:ascii="Calibri" w:hAnsi="Calibri" w:cs="Calibri"/>
          <w:sz w:val="22"/>
          <w:szCs w:val="22"/>
        </w:rPr>
      </w:pPr>
      <w:r w:rsidRPr="00E571CA">
        <w:rPr>
          <w:rFonts w:ascii="Calibri" w:hAnsi="Calibri" w:cs="Calibri"/>
          <w:sz w:val="22"/>
          <w:szCs w:val="22"/>
        </w:rPr>
        <w:t>L’analyse de l’éligibilité formelle des dossiers est ef</w:t>
      </w:r>
      <w:r w:rsidR="009E5DDE">
        <w:rPr>
          <w:rFonts w:ascii="Calibri" w:hAnsi="Calibri" w:cs="Calibri"/>
          <w:sz w:val="22"/>
          <w:szCs w:val="22"/>
        </w:rPr>
        <w:t xml:space="preserve">fectuée par le BIJ sur base de </w:t>
      </w:r>
      <w:r w:rsidRPr="00E571CA">
        <w:rPr>
          <w:rFonts w:ascii="Calibri" w:hAnsi="Calibri" w:cs="Calibri"/>
          <w:sz w:val="22"/>
          <w:szCs w:val="22"/>
        </w:rPr>
        <w:t>la liste de critères établie par la Commission</w:t>
      </w:r>
      <w:r w:rsidR="009E5DDE">
        <w:rPr>
          <w:rFonts w:ascii="Calibri" w:hAnsi="Calibri" w:cs="Calibri"/>
          <w:sz w:val="22"/>
          <w:szCs w:val="22"/>
        </w:rPr>
        <w:t xml:space="preserve"> européenne (</w:t>
      </w:r>
      <w:proofErr w:type="spellStart"/>
      <w:r w:rsidR="009E5DDE">
        <w:rPr>
          <w:rFonts w:ascii="Calibri" w:hAnsi="Calibri" w:cs="Calibri"/>
          <w:sz w:val="22"/>
          <w:szCs w:val="22"/>
        </w:rPr>
        <w:t>cfr</w:t>
      </w:r>
      <w:proofErr w:type="spellEnd"/>
      <w:r w:rsidR="009E5DDE">
        <w:rPr>
          <w:rFonts w:ascii="Calibri" w:hAnsi="Calibri" w:cs="Calibri"/>
          <w:sz w:val="22"/>
          <w:szCs w:val="22"/>
        </w:rPr>
        <w:t xml:space="preserve"> Corps européen de solidarité Programme Guide). Ces critères sont variables d’une action à une autre mais peuvent par exemple être : la date de dépôt</w:t>
      </w:r>
      <w:r w:rsidRPr="00E571CA">
        <w:rPr>
          <w:rFonts w:ascii="Calibri" w:hAnsi="Calibri" w:cs="Calibri"/>
          <w:sz w:val="22"/>
          <w:szCs w:val="22"/>
        </w:rPr>
        <w:t>, la durée de l’ac</w:t>
      </w:r>
      <w:r w:rsidR="009E5DDE">
        <w:rPr>
          <w:rFonts w:ascii="Calibri" w:hAnsi="Calibri" w:cs="Calibri"/>
          <w:sz w:val="22"/>
          <w:szCs w:val="22"/>
        </w:rPr>
        <w:t>tivité, le statut de l’</w:t>
      </w:r>
      <w:proofErr w:type="spellStart"/>
      <w:r w:rsidR="009E5DDE">
        <w:rPr>
          <w:rFonts w:ascii="Calibri" w:hAnsi="Calibri" w:cs="Calibri"/>
          <w:sz w:val="22"/>
          <w:szCs w:val="22"/>
        </w:rPr>
        <w:t>applicant</w:t>
      </w:r>
      <w:proofErr w:type="spellEnd"/>
      <w:r w:rsidR="009E5DDE">
        <w:rPr>
          <w:rFonts w:ascii="Calibri" w:hAnsi="Calibri" w:cs="Calibri"/>
          <w:sz w:val="22"/>
          <w:szCs w:val="22"/>
        </w:rPr>
        <w:t>…</w:t>
      </w:r>
    </w:p>
    <w:p w:rsidR="0094486A" w:rsidRPr="00E571CA" w:rsidRDefault="0094486A" w:rsidP="00596EAE">
      <w:pPr>
        <w:pStyle w:val="Paragraphedeliste"/>
        <w:numPr>
          <w:ilvl w:val="0"/>
          <w:numId w:val="2"/>
        </w:numPr>
        <w:spacing w:after="200" w:line="276" w:lineRule="auto"/>
        <w:ind w:right="-142"/>
        <w:rPr>
          <w:rFonts w:ascii="Calibri" w:hAnsi="Calibri" w:cs="Calibri"/>
          <w:sz w:val="22"/>
          <w:szCs w:val="22"/>
        </w:rPr>
      </w:pPr>
      <w:r w:rsidRPr="00E571CA">
        <w:rPr>
          <w:rFonts w:ascii="Calibri" w:hAnsi="Calibri" w:cs="Calibri"/>
          <w:sz w:val="22"/>
          <w:szCs w:val="22"/>
        </w:rPr>
        <w:t>Il en résulte une liste de dossiers dont la qualité peut être analysée.</w:t>
      </w:r>
    </w:p>
    <w:p w:rsidR="0094486A" w:rsidRDefault="0094486A" w:rsidP="00596EAE">
      <w:pPr>
        <w:ind w:right="-142"/>
        <w:rPr>
          <w:rFonts w:ascii="Calibri" w:hAnsi="Calibri" w:cs="Calibri"/>
          <w:b/>
          <w:sz w:val="22"/>
          <w:szCs w:val="22"/>
          <w:u w:val="single"/>
        </w:rPr>
      </w:pPr>
      <w:r w:rsidRPr="00E571CA">
        <w:rPr>
          <w:rFonts w:ascii="Calibri" w:hAnsi="Calibri" w:cs="Calibri"/>
          <w:sz w:val="22"/>
          <w:szCs w:val="22"/>
        </w:rPr>
        <w:t xml:space="preserve">2/ </w:t>
      </w:r>
      <w:r w:rsidRPr="00E571CA">
        <w:rPr>
          <w:rFonts w:ascii="Calibri" w:hAnsi="Calibri" w:cs="Calibri"/>
          <w:b/>
          <w:sz w:val="22"/>
          <w:szCs w:val="22"/>
          <w:u w:val="single"/>
        </w:rPr>
        <w:t>Analyse qualitative des projets</w:t>
      </w:r>
    </w:p>
    <w:p w:rsidR="0094486A" w:rsidRDefault="0094486A" w:rsidP="00B228D1">
      <w:pPr>
        <w:ind w:left="993" w:right="-142" w:hanging="426"/>
        <w:rPr>
          <w:rFonts w:ascii="Calibri" w:hAnsi="Calibri" w:cs="Calibri"/>
          <w:b/>
          <w:sz w:val="22"/>
          <w:szCs w:val="22"/>
          <w:u w:val="single"/>
        </w:rPr>
      </w:pPr>
    </w:p>
    <w:p w:rsidR="0094486A" w:rsidRPr="00E571C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 xml:space="preserve">Cette  évaluation est effectuée sur base des critères de sélection et d’attribution des subventions publiées dans le  </w:t>
      </w:r>
      <w:r w:rsidRPr="00E571CA">
        <w:rPr>
          <w:rFonts w:ascii="Calibri" w:hAnsi="Calibri" w:cs="Calibri"/>
          <w:i/>
          <w:sz w:val="22"/>
          <w:szCs w:val="22"/>
        </w:rPr>
        <w:t>Guide du programme</w:t>
      </w:r>
      <w:r w:rsidRPr="00E571CA">
        <w:rPr>
          <w:rFonts w:ascii="Calibri" w:hAnsi="Calibri" w:cs="Calibri"/>
          <w:sz w:val="22"/>
          <w:szCs w:val="22"/>
        </w:rPr>
        <w:t xml:space="preserve"> de la Commission européenne ; </w:t>
      </w:r>
    </w:p>
    <w:p w:rsidR="0094486A" w:rsidRPr="00E571C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Sauf cas exceptionnel, le BIJ recourt à des experts externes</w:t>
      </w:r>
      <w:r>
        <w:rPr>
          <w:rFonts w:ascii="Calibri" w:hAnsi="Calibri" w:cs="Calibri"/>
          <w:sz w:val="22"/>
          <w:szCs w:val="22"/>
        </w:rPr>
        <w:t xml:space="preserve"> pour </w:t>
      </w:r>
      <w:r w:rsidRPr="00E571CA">
        <w:rPr>
          <w:rFonts w:ascii="Calibri" w:hAnsi="Calibri" w:cs="Calibri"/>
          <w:sz w:val="22"/>
          <w:szCs w:val="22"/>
        </w:rPr>
        <w:t xml:space="preserve"> l’évaluation qualitative des projets ;</w:t>
      </w:r>
    </w:p>
    <w:p w:rsidR="0094486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 xml:space="preserve">Selon les règles établies par la Commission européenne, l’analyse se fera par un ou deux experts externes ; </w:t>
      </w:r>
    </w:p>
    <w:p w:rsidR="00C54246" w:rsidRPr="00C54246" w:rsidRDefault="00C54246" w:rsidP="00596EAE">
      <w:pPr>
        <w:pStyle w:val="Paragraphedeliste"/>
        <w:numPr>
          <w:ilvl w:val="0"/>
          <w:numId w:val="3"/>
        </w:numPr>
        <w:spacing w:after="200" w:line="276" w:lineRule="auto"/>
        <w:ind w:right="-142"/>
        <w:jc w:val="both"/>
        <w:rPr>
          <w:rFonts w:asciiTheme="minorHAnsi" w:hAnsiTheme="minorHAnsi" w:cstheme="minorHAnsi"/>
          <w:sz w:val="22"/>
          <w:szCs w:val="22"/>
        </w:rPr>
      </w:pPr>
      <w:r w:rsidRPr="00C54246">
        <w:rPr>
          <w:rFonts w:asciiTheme="minorHAnsi" w:hAnsiTheme="minorHAnsi" w:cstheme="minorHAnsi"/>
          <w:sz w:val="22"/>
          <w:szCs w:val="22"/>
        </w:rPr>
        <w:t>Dans le cas spécifique des partenariats de volontariat</w:t>
      </w:r>
      <w:r>
        <w:rPr>
          <w:rFonts w:asciiTheme="minorHAnsi" w:hAnsiTheme="minorHAnsi" w:cstheme="minorHAnsi"/>
          <w:sz w:val="22"/>
          <w:szCs w:val="22"/>
        </w:rPr>
        <w:t xml:space="preserve"> (ESC 12)</w:t>
      </w:r>
      <w:r w:rsidRPr="00C54246">
        <w:rPr>
          <w:rFonts w:asciiTheme="minorHAnsi" w:hAnsiTheme="minorHAnsi" w:cstheme="minorHAnsi"/>
          <w:sz w:val="22"/>
          <w:szCs w:val="22"/>
        </w:rPr>
        <w:t xml:space="preserve">, l’analyse de ces partenariats a été effectuée par un expert qui n’est pas attribué au conseil du bénéficiaire. </w:t>
      </w:r>
      <w:r>
        <w:rPr>
          <w:rFonts w:asciiTheme="minorHAnsi" w:hAnsiTheme="minorHAnsi" w:cstheme="minorHAnsi"/>
          <w:sz w:val="22"/>
          <w:szCs w:val="22"/>
        </w:rPr>
        <w:t xml:space="preserve">L’octroi des partenariats de volontariat-demande annuelle n’est pas soumis à une évaluation qualitative par un expert mais par l’AN conformément aux objectifs fixés et accordés dans la demande de </w:t>
      </w:r>
      <w:r w:rsidR="005B762D">
        <w:rPr>
          <w:rFonts w:asciiTheme="minorHAnsi" w:hAnsiTheme="minorHAnsi" w:cstheme="minorHAnsi"/>
          <w:sz w:val="22"/>
          <w:szCs w:val="22"/>
        </w:rPr>
        <w:t>partenariat-accord cadre(ESC12).</w:t>
      </w:r>
      <w:bookmarkStart w:id="0" w:name="_GoBack"/>
      <w:bookmarkEnd w:id="0"/>
      <w:r w:rsidRPr="00C54246">
        <w:rPr>
          <w:rFonts w:asciiTheme="minorHAnsi" w:hAnsiTheme="minorHAnsi" w:cstheme="minorHAnsi"/>
          <w:sz w:val="22"/>
          <w:szCs w:val="22"/>
        </w:rPr>
        <w:t xml:space="preserve">Comme défini dans </w:t>
      </w:r>
      <w:r w:rsidRPr="00C54246">
        <w:rPr>
          <w:rFonts w:asciiTheme="minorHAnsi" w:hAnsiTheme="minorHAnsi" w:cstheme="minorHAnsi"/>
        </w:rPr>
        <w:t>« </w:t>
      </w:r>
      <w:r w:rsidRPr="00C54246">
        <w:rPr>
          <w:rFonts w:asciiTheme="minorHAnsi" w:hAnsiTheme="minorHAnsi" w:cstheme="minorHAnsi"/>
          <w:smallCaps/>
        </w:rPr>
        <w:t xml:space="preserve">2018 Guide for National </w:t>
      </w:r>
      <w:proofErr w:type="spellStart"/>
      <w:r w:rsidRPr="00C54246">
        <w:rPr>
          <w:rFonts w:asciiTheme="minorHAnsi" w:hAnsiTheme="minorHAnsi" w:cstheme="minorHAnsi"/>
          <w:smallCaps/>
        </w:rPr>
        <w:t>Agencies</w:t>
      </w:r>
      <w:proofErr w:type="spellEnd"/>
      <w:r w:rsidRPr="00C54246">
        <w:rPr>
          <w:rFonts w:asciiTheme="minorHAnsi" w:hAnsiTheme="minorHAnsi" w:cstheme="minorHAnsi"/>
          <w:smallCaps/>
        </w:rPr>
        <w:t xml:space="preserve"> </w:t>
      </w:r>
      <w:proofErr w:type="spellStart"/>
      <w:r w:rsidRPr="00C54246">
        <w:rPr>
          <w:rFonts w:asciiTheme="minorHAnsi" w:hAnsiTheme="minorHAnsi" w:cstheme="minorHAnsi"/>
          <w:smallCaps/>
        </w:rPr>
        <w:t>implementing</w:t>
      </w:r>
      <w:proofErr w:type="spellEnd"/>
      <w:r w:rsidRPr="00C54246">
        <w:rPr>
          <w:rFonts w:asciiTheme="minorHAnsi" w:hAnsiTheme="minorHAnsi" w:cstheme="minorHAnsi"/>
          <w:smallCaps/>
        </w:rPr>
        <w:t xml:space="preserve">  the Erasmus+ Programme and the European Solidarity Corps »</w:t>
      </w:r>
      <w:r>
        <w:rPr>
          <w:rFonts w:asciiTheme="minorHAnsi" w:hAnsiTheme="minorHAnsi" w:cstheme="minorHAnsi"/>
          <w:smallCaps/>
        </w:rPr>
        <w:t xml:space="preserve">. </w:t>
      </w:r>
    </w:p>
    <w:p w:rsidR="0094486A" w:rsidRPr="00E571C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Les experts sont nommés sur base de leur expérience dans le secteur de la jeunesse, les programmes de jeunesse, le domaine de l’éducation non formelle, l’analyse de projets…  L’absence ou le risque très limité de conflit d’intérêt avec les porteurs de projets entre aussi en ligne de compte pour leur nomination ;</w:t>
      </w:r>
    </w:p>
    <w:p w:rsidR="0094486A" w:rsidRPr="00E571C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Les experts disposent d’un Guide des experts développé par la Commission européenne et soumettent leurs avis via un outil on-line développé par la Commission européenne ;</w:t>
      </w:r>
    </w:p>
    <w:p w:rsidR="0094486A" w:rsidRPr="00E571C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Un système de consolidation des avis est prévu pour les projets analysés par deux experts ;</w:t>
      </w:r>
    </w:p>
    <w:p w:rsidR="0094486A" w:rsidRPr="00E571CA" w:rsidRDefault="0094486A" w:rsidP="00596EAE">
      <w:pPr>
        <w:pStyle w:val="Paragraphedeliste"/>
        <w:numPr>
          <w:ilvl w:val="0"/>
          <w:numId w:val="3"/>
        </w:numPr>
        <w:spacing w:after="200" w:line="276" w:lineRule="auto"/>
        <w:ind w:right="-142"/>
        <w:jc w:val="both"/>
        <w:rPr>
          <w:rFonts w:ascii="Calibri" w:hAnsi="Calibri" w:cs="Calibri"/>
          <w:sz w:val="22"/>
          <w:szCs w:val="22"/>
        </w:rPr>
      </w:pPr>
      <w:r w:rsidRPr="00E571CA">
        <w:rPr>
          <w:rFonts w:ascii="Calibri" w:hAnsi="Calibri" w:cs="Calibri"/>
          <w:sz w:val="22"/>
          <w:szCs w:val="22"/>
        </w:rPr>
        <w:t xml:space="preserve">Il résulte de ce processus d’analyse une liste de projets présentés par ordre de mérite (par action ou sous-action) </w:t>
      </w:r>
    </w:p>
    <w:p w:rsidR="0094486A" w:rsidRDefault="0094486A" w:rsidP="00596EAE">
      <w:pPr>
        <w:ind w:right="-142"/>
        <w:jc w:val="both"/>
        <w:rPr>
          <w:rFonts w:ascii="Calibri" w:hAnsi="Calibri" w:cs="Calibri"/>
          <w:b/>
          <w:sz w:val="22"/>
          <w:szCs w:val="22"/>
          <w:u w:val="single"/>
        </w:rPr>
      </w:pPr>
      <w:r w:rsidRPr="00E571CA">
        <w:rPr>
          <w:rFonts w:ascii="Calibri" w:hAnsi="Calibri" w:cs="Calibri"/>
          <w:b/>
          <w:sz w:val="22"/>
          <w:szCs w:val="22"/>
        </w:rPr>
        <w:t xml:space="preserve">3/ </w:t>
      </w:r>
      <w:r w:rsidRPr="00E571CA">
        <w:rPr>
          <w:rFonts w:ascii="Calibri" w:hAnsi="Calibri" w:cs="Calibri"/>
          <w:b/>
          <w:sz w:val="22"/>
          <w:szCs w:val="22"/>
          <w:u w:val="single"/>
        </w:rPr>
        <w:t>Comité d’avis</w:t>
      </w:r>
    </w:p>
    <w:p w:rsidR="0094486A" w:rsidRPr="00E571CA" w:rsidRDefault="0094486A" w:rsidP="00B228D1">
      <w:pPr>
        <w:ind w:left="993" w:right="-142" w:hanging="426"/>
        <w:jc w:val="both"/>
        <w:rPr>
          <w:rFonts w:ascii="Calibri" w:hAnsi="Calibri" w:cs="Calibri"/>
          <w:b/>
          <w:sz w:val="22"/>
          <w:szCs w:val="22"/>
          <w:u w:val="single"/>
        </w:rPr>
      </w:pPr>
    </w:p>
    <w:p w:rsidR="0094486A" w:rsidRPr="00E571CA" w:rsidRDefault="0094486A" w:rsidP="00596EAE">
      <w:pPr>
        <w:pStyle w:val="Paragraphedeliste"/>
        <w:numPr>
          <w:ilvl w:val="0"/>
          <w:numId w:val="4"/>
        </w:numPr>
        <w:spacing w:after="200" w:line="276" w:lineRule="auto"/>
        <w:ind w:right="-142"/>
        <w:jc w:val="both"/>
        <w:rPr>
          <w:rFonts w:ascii="Calibri" w:hAnsi="Calibri" w:cs="Calibri"/>
          <w:sz w:val="22"/>
          <w:szCs w:val="22"/>
        </w:rPr>
      </w:pPr>
      <w:r w:rsidRPr="00E571CA">
        <w:rPr>
          <w:rFonts w:ascii="Calibri" w:hAnsi="Calibri" w:cs="Calibri"/>
          <w:sz w:val="22"/>
          <w:szCs w:val="22"/>
        </w:rPr>
        <w:t xml:space="preserve">L’organisation et la composition du  Comité d’avis du programme Erasmus+ : Jeunesse en Action </w:t>
      </w:r>
      <w:r w:rsidR="0055685B">
        <w:rPr>
          <w:rFonts w:ascii="Calibri" w:hAnsi="Calibri" w:cs="Calibri"/>
          <w:sz w:val="22"/>
          <w:szCs w:val="22"/>
        </w:rPr>
        <w:t xml:space="preserve"> et Corps européen de solidarité </w:t>
      </w:r>
      <w:r w:rsidRPr="00E571CA">
        <w:rPr>
          <w:rFonts w:ascii="Calibri" w:hAnsi="Calibri" w:cs="Calibri"/>
          <w:sz w:val="22"/>
          <w:szCs w:val="22"/>
        </w:rPr>
        <w:t>découle du décret créant le BIJ (2007) ;</w:t>
      </w:r>
    </w:p>
    <w:p w:rsidR="0094486A" w:rsidRPr="00E571CA" w:rsidRDefault="0094486A" w:rsidP="00596EAE">
      <w:pPr>
        <w:pStyle w:val="Paragraphedeliste"/>
        <w:numPr>
          <w:ilvl w:val="0"/>
          <w:numId w:val="4"/>
        </w:numPr>
        <w:spacing w:after="200" w:line="276" w:lineRule="auto"/>
        <w:ind w:right="-142"/>
        <w:jc w:val="both"/>
        <w:rPr>
          <w:rFonts w:ascii="Calibri" w:hAnsi="Calibri" w:cs="Calibri"/>
          <w:sz w:val="22"/>
          <w:szCs w:val="22"/>
        </w:rPr>
      </w:pPr>
      <w:r w:rsidRPr="00E571CA">
        <w:rPr>
          <w:rFonts w:ascii="Calibri" w:hAnsi="Calibri" w:cs="Calibri"/>
          <w:sz w:val="22"/>
          <w:szCs w:val="22"/>
        </w:rPr>
        <w:t xml:space="preserve">Le Comité se compose de représentants de l’Administration et d’associations de jeunesse ; </w:t>
      </w:r>
    </w:p>
    <w:p w:rsidR="0094486A" w:rsidRPr="00E571CA" w:rsidRDefault="0094486A" w:rsidP="00596EAE">
      <w:pPr>
        <w:pStyle w:val="Paragraphedeliste"/>
        <w:numPr>
          <w:ilvl w:val="0"/>
          <w:numId w:val="4"/>
        </w:numPr>
        <w:spacing w:after="200" w:line="276" w:lineRule="auto"/>
        <w:ind w:right="-142"/>
        <w:jc w:val="both"/>
        <w:rPr>
          <w:rFonts w:ascii="Calibri" w:hAnsi="Calibri" w:cs="Calibri"/>
          <w:sz w:val="22"/>
          <w:szCs w:val="22"/>
        </w:rPr>
      </w:pPr>
      <w:r w:rsidRPr="00E571CA">
        <w:rPr>
          <w:rFonts w:ascii="Calibri" w:hAnsi="Calibri" w:cs="Calibri"/>
          <w:sz w:val="22"/>
          <w:szCs w:val="22"/>
        </w:rPr>
        <w:lastRenderedPageBreak/>
        <w:t xml:space="preserve">Le Comité est chargé </w:t>
      </w:r>
      <w:smartTag w:uri="urn:schemas-microsoft-com:office:smarttags" w:element="PersonName">
        <w:smartTagPr>
          <w:attr w:name="ProductID" w:val="de faire une"/>
        </w:smartTagPr>
        <w:r w:rsidRPr="00E571CA">
          <w:rPr>
            <w:rFonts w:ascii="Calibri" w:hAnsi="Calibri" w:cs="Calibri"/>
            <w:sz w:val="22"/>
            <w:szCs w:val="22"/>
          </w:rPr>
          <w:t>de faire une</w:t>
        </w:r>
      </w:smartTag>
      <w:r w:rsidRPr="00E571CA">
        <w:rPr>
          <w:rFonts w:ascii="Calibri" w:hAnsi="Calibri" w:cs="Calibri"/>
          <w:sz w:val="22"/>
          <w:szCs w:val="22"/>
        </w:rPr>
        <w:t xml:space="preserve"> proposition d’attribution des subventions sur base des évaluations des experts ;</w:t>
      </w:r>
    </w:p>
    <w:p w:rsidR="0094486A" w:rsidRPr="00E571CA" w:rsidRDefault="0094486A" w:rsidP="00596EAE">
      <w:pPr>
        <w:pStyle w:val="Paragraphedeliste"/>
        <w:numPr>
          <w:ilvl w:val="0"/>
          <w:numId w:val="4"/>
        </w:numPr>
        <w:spacing w:after="200" w:line="276" w:lineRule="auto"/>
        <w:ind w:right="-142"/>
        <w:jc w:val="both"/>
        <w:rPr>
          <w:rFonts w:ascii="Calibri" w:hAnsi="Calibri" w:cs="Calibri"/>
          <w:sz w:val="22"/>
          <w:szCs w:val="22"/>
        </w:rPr>
      </w:pPr>
      <w:r w:rsidRPr="00E571CA">
        <w:rPr>
          <w:rFonts w:ascii="Calibri" w:hAnsi="Calibri" w:cs="Calibri"/>
          <w:sz w:val="22"/>
          <w:szCs w:val="22"/>
        </w:rPr>
        <w:t xml:space="preserve">La proposition du Comité reprend le statut du projet (à soutenir, à rejeter ou éventuellement à mettre sur une liste d’attente) et un montant  </w:t>
      </w:r>
    </w:p>
    <w:p w:rsidR="0094486A" w:rsidRDefault="0094486A" w:rsidP="00596EAE">
      <w:pPr>
        <w:ind w:right="-142"/>
        <w:jc w:val="both"/>
        <w:rPr>
          <w:rFonts w:ascii="Calibri" w:hAnsi="Calibri" w:cs="Calibri"/>
          <w:b/>
          <w:sz w:val="22"/>
          <w:szCs w:val="22"/>
        </w:rPr>
      </w:pPr>
      <w:r w:rsidRPr="00E571CA">
        <w:rPr>
          <w:rFonts w:ascii="Calibri" w:hAnsi="Calibri" w:cs="Calibri"/>
          <w:b/>
          <w:sz w:val="22"/>
          <w:szCs w:val="22"/>
        </w:rPr>
        <w:t>4/ Sélection définitive</w:t>
      </w:r>
    </w:p>
    <w:p w:rsidR="0094486A" w:rsidRDefault="0094486A" w:rsidP="00B228D1">
      <w:pPr>
        <w:ind w:left="993" w:right="-142" w:hanging="426"/>
        <w:jc w:val="both"/>
        <w:rPr>
          <w:rFonts w:ascii="Calibri" w:hAnsi="Calibri" w:cs="Calibri"/>
          <w:b/>
          <w:sz w:val="22"/>
          <w:szCs w:val="22"/>
        </w:rPr>
      </w:pPr>
    </w:p>
    <w:p w:rsidR="0094486A" w:rsidRPr="00E571CA" w:rsidRDefault="0094486A" w:rsidP="00596EAE">
      <w:pPr>
        <w:pStyle w:val="Paragraphedeliste"/>
        <w:numPr>
          <w:ilvl w:val="0"/>
          <w:numId w:val="5"/>
        </w:numPr>
        <w:spacing w:after="200" w:line="276" w:lineRule="auto"/>
        <w:ind w:right="-142"/>
        <w:rPr>
          <w:rFonts w:ascii="Calibri" w:hAnsi="Calibri" w:cs="Calibri"/>
          <w:sz w:val="22"/>
          <w:szCs w:val="22"/>
        </w:rPr>
      </w:pPr>
      <w:r w:rsidRPr="00E571CA">
        <w:rPr>
          <w:rFonts w:ascii="Calibri" w:hAnsi="Calibri" w:cs="Calibri"/>
          <w:sz w:val="22"/>
          <w:szCs w:val="22"/>
        </w:rPr>
        <w:t>La direction du BIJ prend la décision finale</w:t>
      </w:r>
    </w:p>
    <w:p w:rsidR="0094486A" w:rsidRPr="00E571CA" w:rsidRDefault="0094486A" w:rsidP="00596EAE">
      <w:pPr>
        <w:pStyle w:val="Paragraphedeliste"/>
        <w:numPr>
          <w:ilvl w:val="0"/>
          <w:numId w:val="5"/>
        </w:numPr>
        <w:spacing w:after="200" w:line="276" w:lineRule="auto"/>
        <w:ind w:right="-142"/>
        <w:rPr>
          <w:rFonts w:ascii="Calibri" w:hAnsi="Calibri" w:cs="Calibri"/>
          <w:sz w:val="22"/>
          <w:szCs w:val="22"/>
        </w:rPr>
      </w:pPr>
      <w:r w:rsidRPr="00E571CA">
        <w:rPr>
          <w:rFonts w:ascii="Calibri" w:hAnsi="Calibri" w:cs="Calibri"/>
          <w:sz w:val="22"/>
          <w:szCs w:val="22"/>
        </w:rPr>
        <w:t>En cas d’avis contraire par rapport à la proposition du Comité d’avis, la décision doit être dûment justifiée</w:t>
      </w:r>
    </w:p>
    <w:sectPr w:rsidR="0094486A" w:rsidRPr="00E571CA" w:rsidSect="00E93F63">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51291"/>
    <w:multiLevelType w:val="hybridMultilevel"/>
    <w:tmpl w:val="0774335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0F613B"/>
    <w:multiLevelType w:val="hybridMultilevel"/>
    <w:tmpl w:val="BA76FB1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BA4FB8"/>
    <w:multiLevelType w:val="hybridMultilevel"/>
    <w:tmpl w:val="2D36C8B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4C1A74"/>
    <w:multiLevelType w:val="hybridMultilevel"/>
    <w:tmpl w:val="FD16DF4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454DC1"/>
    <w:multiLevelType w:val="hybridMultilevel"/>
    <w:tmpl w:val="182A69D2"/>
    <w:lvl w:ilvl="0" w:tplc="6F800286">
      <w:numFmt w:val="bullet"/>
      <w:lvlText w:val="-"/>
      <w:lvlJc w:val="left"/>
      <w:pPr>
        <w:ind w:left="720" w:hanging="360"/>
      </w:pPr>
      <w:rPr>
        <w:rFonts w:ascii="Book Antiqua" w:eastAsia="Times New Roman" w:hAnsi="Book Antiqu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1"/>
    <w:rsid w:val="00366619"/>
    <w:rsid w:val="0055685B"/>
    <w:rsid w:val="00596EAE"/>
    <w:rsid w:val="005B762D"/>
    <w:rsid w:val="0094486A"/>
    <w:rsid w:val="009E5DDE"/>
    <w:rsid w:val="00AC1597"/>
    <w:rsid w:val="00B228D1"/>
    <w:rsid w:val="00C54246"/>
    <w:rsid w:val="00E571CA"/>
    <w:rsid w:val="00E93F63"/>
    <w:rsid w:val="00FD0C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483E7A5B-93BF-4CA1-8E02-7E0A719F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D1"/>
    <w:rPr>
      <w:rFonts w:ascii="Times New Roman" w:eastAsia="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228D1"/>
    <w:pPr>
      <w:ind w:left="720"/>
      <w:contextualSpacing/>
    </w:pPr>
  </w:style>
  <w:style w:type="character" w:styleId="Lienhypertexte">
    <w:name w:val="Hyperlink"/>
    <w:basedOn w:val="Policepardfaut"/>
    <w:uiPriority w:val="99"/>
    <w:unhideWhenUsed/>
    <w:rsid w:val="00C54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sers.skynet.be/bij/images/bijsign.png"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demeut01</dc:creator>
  <cp:keywords/>
  <dc:description/>
  <cp:lastModifiedBy>NOWAKOWSKI Stéphanie</cp:lastModifiedBy>
  <cp:revision>4</cp:revision>
  <dcterms:created xsi:type="dcterms:W3CDTF">2019-01-25T12:38:00Z</dcterms:created>
  <dcterms:modified xsi:type="dcterms:W3CDTF">2019-01-25T13:04:00Z</dcterms:modified>
</cp:coreProperties>
</file>