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smallCaps/>
          <w:sz w:val="44"/>
          <w:szCs w:val="44"/>
        </w:rPr>
      </w:pPr>
      <w:bookmarkStart w:id="0" w:name="_GoBack"/>
      <w:bookmarkEnd w:id="0"/>
      <w:r>
        <w:rPr>
          <w:rFonts w:ascii="Times New Roman" w:hAnsi="Times New Roman" w:cs="Times New Roman"/>
          <w:smallCaps/>
          <w:sz w:val="44"/>
          <w:szCs w:val="44"/>
        </w:rPr>
        <w:t>Rates applicable for unit contributions</w:t>
      </w:r>
    </w:p>
    <w:p>
      <w:pPr>
        <w:spacing w:after="0" w:line="240" w:lineRule="auto"/>
        <w:rPr>
          <w:rFonts w:ascii="Times New Roman" w:hAnsi="Times New Roman" w:cs="Times New Roman"/>
          <w:b/>
          <w:smallCaps/>
          <w:sz w:val="36"/>
          <w:szCs w:val="36"/>
          <w:u w:val="single"/>
        </w:rPr>
      </w:pPr>
    </w:p>
    <w:p>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 – YOUTH WORKERS</w:t>
      </w:r>
    </w:p>
    <w:p>
      <w:pPr>
        <w:spacing w:after="0" w:line="240" w:lineRule="auto"/>
        <w:jc w:val="center"/>
        <w:rPr>
          <w:rFonts w:ascii="Times New Roman" w:hAnsi="Times New Roman" w:cs="Times New Roman"/>
          <w:b/>
          <w:smallCaps/>
          <w:sz w:val="24"/>
          <w:szCs w:val="24"/>
          <w:u w:val="single"/>
        </w:rPr>
      </w:pPr>
    </w:p>
    <w:p>
      <w:pPr>
        <w:spacing w:after="0" w:line="240" w:lineRule="auto"/>
        <w:rPr>
          <w:rFonts w:ascii="Times New Roman" w:hAnsi="Times New Roman" w:cs="Times New Roman"/>
          <w:b/>
          <w:highlight w:val="yellow"/>
        </w:rPr>
      </w:pPr>
    </w:p>
    <w:p>
      <w:pPr>
        <w:pStyle w:val="Paragraphedeliste"/>
        <w:tabs>
          <w:tab w:val="left" w:pos="851"/>
        </w:tabs>
        <w:suppressAutoHyphens/>
        <w:ind w:left="0"/>
        <w:jc w:val="both"/>
        <w:rPr>
          <w:rFonts w:ascii="Times New Roman" w:hAnsi="Times New Roman"/>
          <w:b/>
          <w:sz w:val="24"/>
          <w:lang w:val="en-US"/>
        </w:rPr>
      </w:pPr>
      <w:r>
        <w:rPr>
          <w:rFonts w:ascii="Times New Roman" w:hAnsi="Times New Roman" w:cs="Times New Roman"/>
          <w:b/>
          <w:sz w:val="24"/>
        </w:rPr>
        <w:t xml:space="preserve">1. Travel - </w:t>
      </w:r>
      <w:r>
        <w:rPr>
          <w:rFonts w:ascii="Times New Roman" w:hAnsi="Times New Roman"/>
          <w:b/>
          <w:sz w:val="24"/>
          <w:lang w:val="en-US"/>
        </w:rPr>
        <w:t>Contribution to the travel costs</w:t>
      </w:r>
    </w:p>
    <w:p>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82"/>
        <w:gridCol w:w="3081"/>
        <w:gridCol w:w="3079"/>
      </w:tblGrid>
      <w:tr>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Standard travel - 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23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1500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pPr>
        <w:spacing w:after="0" w:line="240" w:lineRule="auto"/>
        <w:rPr>
          <w:rFonts w:ascii="Times New Roman" w:eastAsia="SimSun" w:hAnsi="Times New Roman"/>
          <w:b/>
          <w:snapToGrid w:val="0"/>
          <w:kern w:val="3"/>
          <w:sz w:val="24"/>
          <w:szCs w:val="24"/>
          <w:lang w:eastAsia="zh-CN"/>
        </w:rPr>
      </w:pPr>
    </w:p>
    <w:p>
      <w:pPr>
        <w:spacing w:after="0" w:line="240" w:lineRule="auto"/>
        <w:ind w:left="1134" w:hanging="1134"/>
        <w:rPr>
          <w:rFonts w:ascii="Times New Roman" w:hAnsi="Times New Roman"/>
          <w:sz w:val="24"/>
          <w:szCs w:val="24"/>
        </w:rPr>
      </w:pPr>
      <w:r>
        <w:rPr>
          <w:rFonts w:ascii="Times New Roman" w:hAnsi="Times New Roman"/>
          <w:b/>
          <w:sz w:val="24"/>
          <w:szCs w:val="24"/>
        </w:rPr>
        <w:t>Nota bene:</w:t>
      </w:r>
      <w:r>
        <w:rPr>
          <w:rFonts w:ascii="Times New Roman" w:hAnsi="Times New Roman"/>
          <w:sz w:val="24"/>
          <w:szCs w:val="24"/>
        </w:rPr>
        <w:t xml:space="preserve"> The travel distance represents a single way distance from the place of origin to the venue, whereas the amount covers the contribution to the return travel to and from the venue. </w:t>
      </w:r>
    </w:p>
    <w:p>
      <w:pPr>
        <w:spacing w:after="0" w:line="240" w:lineRule="auto"/>
        <w:ind w:left="1134" w:hanging="1134"/>
        <w:rPr>
          <w:rFonts w:ascii="Times New Roman" w:hAnsi="Times New Roman"/>
          <w:sz w:val="24"/>
          <w:szCs w:val="24"/>
        </w:rPr>
      </w:pPr>
    </w:p>
    <w:p>
      <w:pPr>
        <w:spacing w:after="0" w:line="240" w:lineRule="auto"/>
        <w:ind w:left="1134" w:hanging="1134"/>
        <w:rPr>
          <w:rFonts w:ascii="Times New Roman" w:hAnsi="Times New Roman"/>
          <w:b/>
          <w:sz w:val="24"/>
          <w:szCs w:val="24"/>
        </w:rPr>
      </w:pPr>
      <w:r>
        <w:rPr>
          <w:rFonts w:ascii="Times New Roman" w:hAnsi="Times New Roman"/>
          <w:b/>
          <w:sz w:val="24"/>
          <w:szCs w:val="24"/>
        </w:rPr>
        <w:t>2. Individual support</w:t>
      </w:r>
    </w:p>
    <w:p>
      <w:pPr>
        <w:spacing w:after="0" w:line="240" w:lineRule="auto"/>
        <w:ind w:left="1134" w:hanging="1134"/>
        <w:rPr>
          <w:rFonts w:ascii="Times New Roman" w:hAnsi="Times New Roman"/>
          <w:sz w:val="24"/>
          <w:szCs w:val="24"/>
        </w:rPr>
      </w:pPr>
    </w:p>
    <w:p>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35"/>
        <w:gridCol w:w="2126"/>
      </w:tblGrid>
      <w:tr>
        <w:trPr>
          <w:cantSplit/>
          <w:jc w:val="center"/>
        </w:trPr>
        <w:tc>
          <w:tcPr>
            <w:tcW w:w="3246" w:type="pct"/>
            <w:tcBorders>
              <w:top w:val="nil"/>
              <w:left w:val="nil"/>
              <w:bottom w:val="nil"/>
              <w:right w:val="nil"/>
            </w:tcBorders>
            <w:vAlign w:val="center"/>
          </w:tcPr>
          <w:p>
            <w:pPr>
              <w:autoSpaceDE w:val="0"/>
              <w:adjustRightInd w:val="0"/>
              <w:spacing w:after="0"/>
              <w:jc w:val="center"/>
              <w:rPr>
                <w:rFonts w:ascii="Calibri" w:hAnsi="Calibri"/>
              </w:rPr>
            </w:pPr>
          </w:p>
          <w:p>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jc w:val="center"/>
              <w:rPr>
                <w:rFonts w:ascii="Calibri" w:hAnsi="Calibri"/>
                <w:b/>
                <w:bCs/>
                <w:sz w:val="12"/>
                <w:szCs w:val="12"/>
              </w:rPr>
            </w:pPr>
          </w:p>
          <w:p>
            <w:pPr>
              <w:autoSpaceDE w:val="0"/>
              <w:adjustRightInd w:val="0"/>
              <w:spacing w:after="0"/>
              <w:jc w:val="center"/>
              <w:rPr>
                <w:rFonts w:ascii="Calibri" w:hAnsi="Calibri"/>
                <w:b/>
                <w:bCs/>
              </w:rPr>
            </w:pPr>
            <w:r>
              <w:rPr>
                <w:rFonts w:ascii="Calibri" w:hAnsi="Calibri"/>
                <w:b/>
                <w:bCs/>
              </w:rPr>
              <w:t>Individual</w:t>
            </w:r>
          </w:p>
          <w:p>
            <w:pPr>
              <w:autoSpaceDE w:val="0"/>
              <w:adjustRightInd w:val="0"/>
              <w:spacing w:after="0"/>
              <w:jc w:val="center"/>
              <w:rPr>
                <w:rFonts w:ascii="Calibri" w:hAnsi="Calibri"/>
                <w:b/>
                <w:bCs/>
              </w:rPr>
            </w:pPr>
            <w:r>
              <w:rPr>
                <w:rFonts w:ascii="Calibri" w:hAnsi="Calibri"/>
                <w:b/>
                <w:bCs/>
              </w:rPr>
              <w:t>Support</w:t>
            </w:r>
          </w:p>
          <w:p>
            <w:pPr>
              <w:autoSpaceDE w:val="0"/>
              <w:adjustRightInd w:val="0"/>
              <w:spacing w:after="0"/>
              <w:jc w:val="center"/>
              <w:rPr>
                <w:rFonts w:ascii="Calibri" w:hAnsi="Calibri"/>
                <w:b/>
                <w:bCs/>
                <w:sz w:val="16"/>
                <w:szCs w:val="16"/>
              </w:rPr>
            </w:pPr>
          </w:p>
          <w:p>
            <w:pPr>
              <w:autoSpaceDE w:val="0"/>
              <w:adjustRightInd w:val="0"/>
              <w:spacing w:after="0"/>
              <w:jc w:val="center"/>
              <w:rPr>
                <w:rFonts w:ascii="Calibri" w:hAnsi="Calibri"/>
                <w:b/>
                <w:bCs/>
                <w:sz w:val="12"/>
                <w:szCs w:val="12"/>
              </w:rPr>
            </w:pPr>
            <w:r>
              <w:rPr>
                <w:rFonts w:ascii="Calibri" w:hAnsi="Calibri"/>
                <w:b/>
                <w:bCs/>
              </w:rPr>
              <w:t>(in EUR per day)</w:t>
            </w:r>
          </w:p>
          <w:p>
            <w:pPr>
              <w:autoSpaceDE w:val="0"/>
              <w:adjustRightInd w:val="0"/>
              <w:spacing w:after="0"/>
              <w:jc w:val="center"/>
              <w:rPr>
                <w:rFonts w:ascii="Calibri" w:hAnsi="Calibri"/>
                <w:b/>
                <w:bCs/>
              </w:rPr>
            </w:pP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61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rPr>
            </w:pPr>
            <w:r>
              <w:rPr>
                <w:rFonts w:ascii="Calibri" w:hAnsi="Calibri"/>
                <w:sz w:val="18"/>
              </w:rPr>
              <w:t>65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 xml:space="preserve">53 </w:t>
            </w:r>
            <w:r>
              <w:rPr>
                <w:rFonts w:ascii="Calibri" w:hAnsi="Calibri"/>
                <w:sz w:val="18"/>
                <w:szCs w:val="18"/>
              </w:rPr>
              <w:t>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72</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58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56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74</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71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61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62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58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59</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58</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55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65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69</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59</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65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60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60</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71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70</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Republic of North Macedonia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45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71</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74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74 EUR</w:t>
            </w:r>
          </w:p>
        </w:tc>
      </w:tr>
      <w:tr>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 xml:space="preserve">45 </w:t>
            </w:r>
            <w:r>
              <w:rPr>
                <w:rFonts w:ascii="Calibri" w:hAnsi="Calibri"/>
                <w:sz w:val="18"/>
                <w:szCs w:val="18"/>
              </w:rPr>
              <w:t>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rPr>
            </w:pPr>
            <w:r>
              <w:rPr>
                <w:rFonts w:ascii="Calibri" w:hAnsi="Calibri"/>
                <w:sz w:val="18"/>
              </w:rPr>
              <w:t>48</w:t>
            </w:r>
            <w:r>
              <w:rPr>
                <w:rFonts w:ascii="Calibri" w:hAnsi="Calibri"/>
                <w:sz w:val="18"/>
                <w:szCs w:val="18"/>
              </w:rPr>
              <w:t xml:space="preserve"> EUR</w:t>
            </w:r>
          </w:p>
        </w:tc>
      </w:tr>
    </w:tbl>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
          <w:sz w:val="24"/>
          <w:szCs w:val="24"/>
        </w:rPr>
        <w:t>Nota bene:</w:t>
      </w:r>
      <w:r>
        <w:rPr>
          <w:rFonts w:ascii="Times New Roman" w:hAnsi="Times New Roman"/>
          <w:sz w:val="24"/>
          <w:szCs w:val="24"/>
        </w:rPr>
        <w:t xml:space="preserve"> Maximum </w:t>
      </w:r>
      <w:r>
        <w:rPr>
          <w:rFonts w:ascii="Times New Roman" w:hAnsi="Times New Roman"/>
          <w:b/>
          <w:sz w:val="24"/>
          <w:szCs w:val="24"/>
        </w:rPr>
        <w:t>1.100 EUR</w:t>
      </w:r>
      <w:r>
        <w:rPr>
          <w:rFonts w:ascii="Times New Roman" w:hAnsi="Times New Roman"/>
          <w:sz w:val="24"/>
          <w:szCs w:val="24"/>
        </w:rPr>
        <w:t xml:space="preserve"> per participant (including trainers, facilitators and accompanying persons). Based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Pr>
          <w:rFonts w:ascii="Times New Roman" w:hAnsi="Times New Roman"/>
          <w:sz w:val="24"/>
          <w:szCs w:val="24"/>
        </w:rPr>
        <w:cr/>
      </w:r>
    </w:p>
    <w:p>
      <w:pPr>
        <w:spacing w:after="0" w:line="240" w:lineRule="auto"/>
        <w:rPr>
          <w:rFonts w:ascii="Times New Roman" w:hAnsi="Times New Roman" w:cs="Times New Roman"/>
          <w:b/>
          <w:sz w:val="24"/>
        </w:rPr>
      </w:pPr>
      <w:r>
        <w:rPr>
          <w:rFonts w:ascii="Times New Roman" w:hAnsi="Times New Roman" w:cs="Times New Roman"/>
          <w:b/>
          <w:sz w:val="24"/>
        </w:rPr>
        <w:t>3. Organisational support</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b/>
          <w:sz w:val="24"/>
        </w:rPr>
        <w:t>100 EUR</w:t>
      </w:r>
      <w:r>
        <w:rPr>
          <w:rFonts w:ascii="Times New Roman" w:hAnsi="Times New Roman" w:cs="Times New Roman"/>
          <w:sz w:val="24"/>
        </w:rPr>
        <w:t xml:space="preserve"> </w:t>
      </w:r>
      <w:r>
        <w:rPr>
          <w:rFonts w:ascii="Times New Roman" w:hAnsi="Times New Roman"/>
          <w:sz w:val="24"/>
          <w:szCs w:val="24"/>
        </w:rPr>
        <w:t>per participant in a Professional Development Activity, excluding accompanying persons, trainers and facilitators.</w:t>
      </w:r>
    </w:p>
    <w:p>
      <w:pPr>
        <w:spacing w:after="0" w:line="240" w:lineRule="auto"/>
        <w:rPr>
          <w:rFonts w:ascii="Times New Roman" w:hAnsi="Times New Roman" w:cs="Times New Roman"/>
        </w:rPr>
      </w:pPr>
    </w:p>
    <w:p>
      <w:pPr>
        <w:spacing w:after="0" w:line="240" w:lineRule="auto"/>
        <w:rPr>
          <w:rFonts w:ascii="Times New Roman" w:hAnsi="Times New Roman"/>
          <w:sz w:val="24"/>
          <w:szCs w:val="24"/>
        </w:rPr>
      </w:pPr>
      <w:r>
        <w:rPr>
          <w:rFonts w:ascii="Times New Roman" w:hAnsi="Times New Roman"/>
          <w:b/>
          <w:sz w:val="24"/>
          <w:szCs w:val="24"/>
        </w:rPr>
        <w:t>4. Inclusion support</w:t>
      </w: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 for costs related to the organisation of mobility activities for participants with fewer opportunities, excluding accompanying persons, trainers and facilitators.</w:t>
      </w:r>
    </w:p>
    <w:p>
      <w:pPr>
        <w:spacing w:after="0" w:line="240" w:lineRule="auto"/>
        <w:rPr>
          <w:rFonts w:ascii="Times New Roman" w:hAnsi="Times New Roman" w:cs="Times New Roman"/>
        </w:rPr>
      </w:pPr>
    </w:p>
    <w:p>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 per preparatory visit, excluding participants from the receiving organisation. A maximum of 1 participant per participating organisation can be funded per activity.</w:t>
      </w:r>
      <w:r>
        <w:rPr>
          <w:rFonts w:ascii="Times New Roman" w:hAnsi="Times New Roman" w:cs="Times New Roman"/>
        </w:rPr>
        <w:t xml:space="preserve"> </w:t>
      </w:r>
    </w:p>
    <w:p>
      <w:pPr>
        <w:spacing w:after="0" w:line="240" w:lineRule="auto"/>
        <w:rPr>
          <w:rFonts w:ascii="Times New Roman" w:hAnsi="Times New Roman" w:cs="Times New Roman"/>
        </w:rPr>
      </w:pPr>
    </w:p>
    <w:sectPr>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spacing w:after="0" w:line="240" w:lineRule="auto"/>
      <w:ind w:left="720"/>
    </w:pPr>
    <w:rPr>
      <w:rFonts w:ascii="Calibri" w:eastAsia="SimSun" w:hAnsi="Calibri" w:cs="Calibri"/>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ab5acbb8-d540-4bde-93f8-a15e5c433b31">Not Started</EC_Collab_Status>
    <EC_Collab_DocumentLanguage xmlns="ab5acbb8-d540-4bde-93f8-a15e5c433b31">EN</EC_Collab_DocumentLanguage>
    <EC_Collab_Reference xmlns="ab5acbb8-d540-4bde-93f8-a15e5c433b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2531C-9BC7-4020-88EF-D964387F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A5073-BEF6-4DE9-8DF5-92594A5A01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b5acbb8-d540-4bde-93f8-a15e5c433b31"/>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5E7CEB-2C4C-4CAF-8DCF-A3AC72DAA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2089</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DEMEUTER Anne</cp:lastModifiedBy>
  <cp:revision>2</cp:revision>
  <cp:lastPrinted>2016-04-13T08:12:00Z</cp:lastPrinted>
  <dcterms:created xsi:type="dcterms:W3CDTF">2021-12-17T14:26:00Z</dcterms:created>
  <dcterms:modified xsi:type="dcterms:W3CDTF">2021-12-17T14:26:00Z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0x010100258AA79CEB83498886A3A08681123250006454C2729B2C39429C0144C378278EF4</vt:lpwstr>
  </property>
</Properties>
</file>