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B867D" w14:textId="77777777" w:rsidR="002367EF" w:rsidRPr="008A54C8" w:rsidRDefault="002367EF" w:rsidP="002367EF">
      <w:pPr>
        <w:pStyle w:val="Heading1"/>
        <w:rPr>
          <w:noProof/>
          <w:lang w:val="fr-BE"/>
        </w:rPr>
      </w:pPr>
      <w:bookmarkStart w:id="0" w:name="_Toc530496910"/>
      <w:bookmarkStart w:id="1" w:name="_Toc530496911"/>
      <w:bookmarkStart w:id="2" w:name="_GoBack"/>
      <w:bookmarkEnd w:id="2"/>
      <w:r w:rsidRPr="008A54C8">
        <w:rPr>
          <w:noProof/>
          <w:lang w:val="fr-BE"/>
        </w:rPr>
        <w:t xml:space="preserve">ANNEXE I </w:t>
      </w:r>
      <w:r w:rsidRPr="008A54C8">
        <w:rPr>
          <w:rFonts w:hint="eastAsia"/>
          <w:noProof/>
          <w:lang w:val="fr-BE"/>
        </w:rPr>
        <w:t>—</w:t>
      </w:r>
      <w:r w:rsidRPr="008A54C8">
        <w:rPr>
          <w:noProof/>
          <w:lang w:val="fr-BE"/>
        </w:rPr>
        <w:t>CONDITIONS</w:t>
      </w:r>
      <w:bookmarkEnd w:id="0"/>
      <w:r w:rsidRPr="008A54C8">
        <w:rPr>
          <w:noProof/>
          <w:lang w:val="fr-BE"/>
        </w:rPr>
        <w:t xml:space="preserve"> GÉNÉRALES</w:t>
      </w:r>
    </w:p>
    <w:p w14:paraId="6819C13E" w14:textId="7DACBD2F" w:rsidR="002367EF" w:rsidRDefault="002367EF" w:rsidP="002367EF">
      <w:pPr>
        <w:pStyle w:val="Heading1"/>
      </w:pPr>
      <w:r w:rsidRPr="008A54C8">
        <w:rPr>
          <w:noProof/>
          <w:lang w:val="fr-BE"/>
        </w:rPr>
        <w:t xml:space="preserve">Table </w:t>
      </w:r>
      <w:bookmarkEnd w:id="1"/>
      <w:r w:rsidRPr="008A54C8">
        <w:rPr>
          <w:noProof/>
          <w:lang w:val="fr-BE"/>
        </w:rPr>
        <w:t>d</w:t>
      </w:r>
      <w:r>
        <w:rPr>
          <w:noProof/>
          <w:lang w:val="fr-BE"/>
        </w:rPr>
        <w:t>es matières</w:t>
      </w:r>
    </w:p>
    <w:p w14:paraId="2C40C1AE" w14:textId="32650266" w:rsidR="002367EF" w:rsidRDefault="001721CC">
      <w:pPr>
        <w:pStyle w:val="TOC1"/>
        <w:rPr>
          <w:rFonts w:asciiTheme="minorHAnsi" w:eastAsiaTheme="minorEastAsia" w:hAnsiTheme="minorHAnsi" w:cstheme="minorBidi"/>
          <w:b w:val="0"/>
          <w:caps w:val="0"/>
          <w:noProof/>
          <w:sz w:val="22"/>
          <w:szCs w:val="22"/>
          <w:lang w:val="en-US"/>
        </w:rPr>
      </w:pPr>
      <w:r>
        <w:rPr>
          <w:rFonts w:ascii="Times New Roman Bold" w:hAnsi="Times New Roman Bold"/>
          <w:lang w:eastAsia="en-GB"/>
        </w:rPr>
        <w:fldChar w:fldCharType="begin"/>
      </w:r>
      <w:r w:rsidRPr="008A54C8">
        <w:rPr>
          <w:lang w:val="fr-BE"/>
        </w:rPr>
        <w:instrText xml:space="preserve"> TOC \o "1-3" \h \z \u </w:instrText>
      </w:r>
      <w:r>
        <w:rPr>
          <w:rFonts w:ascii="Times New Roman Bold" w:hAnsi="Times New Roman Bold"/>
          <w:lang w:eastAsia="en-GB"/>
        </w:rPr>
        <w:fldChar w:fldCharType="separate"/>
      </w:r>
      <w:hyperlink w:anchor="_Toc81831030" w:history="1">
        <w:r w:rsidR="002367EF" w:rsidRPr="00914E8E">
          <w:rPr>
            <w:rStyle w:val="Hyperlink"/>
            <w:noProof/>
          </w:rPr>
          <w:t>PARTIE A — DISPOSITIONS JURIDIQUES ET ADMINISTRATIVES</w:t>
        </w:r>
        <w:r w:rsidR="002367EF">
          <w:rPr>
            <w:noProof/>
            <w:webHidden/>
          </w:rPr>
          <w:tab/>
        </w:r>
        <w:r w:rsidR="002367EF">
          <w:rPr>
            <w:noProof/>
            <w:webHidden/>
          </w:rPr>
          <w:fldChar w:fldCharType="begin"/>
        </w:r>
        <w:r w:rsidR="002367EF">
          <w:rPr>
            <w:noProof/>
            <w:webHidden/>
          </w:rPr>
          <w:instrText xml:space="preserve"> PAGEREF _Toc81831030 \h </w:instrText>
        </w:r>
        <w:r w:rsidR="002367EF">
          <w:rPr>
            <w:noProof/>
            <w:webHidden/>
          </w:rPr>
        </w:r>
        <w:r w:rsidR="002367EF">
          <w:rPr>
            <w:noProof/>
            <w:webHidden/>
          </w:rPr>
          <w:fldChar w:fldCharType="separate"/>
        </w:r>
        <w:r w:rsidR="002367EF">
          <w:rPr>
            <w:noProof/>
            <w:webHidden/>
          </w:rPr>
          <w:t>5</w:t>
        </w:r>
        <w:r w:rsidR="002367EF">
          <w:rPr>
            <w:noProof/>
            <w:webHidden/>
          </w:rPr>
          <w:fldChar w:fldCharType="end"/>
        </w:r>
      </w:hyperlink>
    </w:p>
    <w:p w14:paraId="4B53051B" w14:textId="1B95B3AF" w:rsidR="002367EF" w:rsidRDefault="00463140">
      <w:pPr>
        <w:pStyle w:val="TOC2"/>
        <w:rPr>
          <w:rFonts w:asciiTheme="minorHAnsi" w:eastAsiaTheme="minorEastAsia" w:hAnsiTheme="minorHAnsi" w:cstheme="minorBidi"/>
          <w:noProof/>
          <w:sz w:val="22"/>
          <w:szCs w:val="22"/>
          <w:lang w:val="en-US"/>
        </w:rPr>
      </w:pPr>
      <w:hyperlink w:anchor="_Toc81831031" w:history="1">
        <w:r w:rsidR="002367EF" w:rsidRPr="00914E8E">
          <w:rPr>
            <w:rStyle w:val="Hyperlink"/>
            <w:noProof/>
          </w:rPr>
          <w:t>ARTICLE II.1 – DÉFINITIONS</w:t>
        </w:r>
        <w:r w:rsidR="002367EF">
          <w:rPr>
            <w:noProof/>
            <w:webHidden/>
          </w:rPr>
          <w:tab/>
        </w:r>
        <w:r w:rsidR="002367EF">
          <w:rPr>
            <w:noProof/>
            <w:webHidden/>
          </w:rPr>
          <w:fldChar w:fldCharType="begin"/>
        </w:r>
        <w:r w:rsidR="002367EF">
          <w:rPr>
            <w:noProof/>
            <w:webHidden/>
          </w:rPr>
          <w:instrText xml:space="preserve"> PAGEREF _Toc81831031 \h </w:instrText>
        </w:r>
        <w:r w:rsidR="002367EF">
          <w:rPr>
            <w:noProof/>
            <w:webHidden/>
          </w:rPr>
        </w:r>
        <w:r w:rsidR="002367EF">
          <w:rPr>
            <w:noProof/>
            <w:webHidden/>
          </w:rPr>
          <w:fldChar w:fldCharType="separate"/>
        </w:r>
        <w:r w:rsidR="002367EF">
          <w:rPr>
            <w:noProof/>
            <w:webHidden/>
          </w:rPr>
          <w:t>5</w:t>
        </w:r>
        <w:r w:rsidR="002367EF">
          <w:rPr>
            <w:noProof/>
            <w:webHidden/>
          </w:rPr>
          <w:fldChar w:fldCharType="end"/>
        </w:r>
      </w:hyperlink>
    </w:p>
    <w:p w14:paraId="4AF7AEEE" w14:textId="50556772" w:rsidR="002367EF" w:rsidRDefault="00463140">
      <w:pPr>
        <w:pStyle w:val="TOC2"/>
        <w:rPr>
          <w:rFonts w:asciiTheme="minorHAnsi" w:eastAsiaTheme="minorEastAsia" w:hAnsiTheme="minorHAnsi" w:cstheme="minorBidi"/>
          <w:noProof/>
          <w:sz w:val="22"/>
          <w:szCs w:val="22"/>
          <w:lang w:val="en-US"/>
        </w:rPr>
      </w:pPr>
      <w:hyperlink w:anchor="_Toc81831032" w:history="1">
        <w:r w:rsidR="002367EF" w:rsidRPr="00914E8E">
          <w:rPr>
            <w:rStyle w:val="Hyperlink"/>
            <w:noProof/>
          </w:rPr>
          <w:t>ARTICLE II.2 – OBLIGATIONS GÉNÉRALES DU BÉNÉFICIAIRE</w:t>
        </w:r>
        <w:r w:rsidR="002367EF">
          <w:rPr>
            <w:noProof/>
            <w:webHidden/>
          </w:rPr>
          <w:tab/>
        </w:r>
        <w:r w:rsidR="002367EF">
          <w:rPr>
            <w:noProof/>
            <w:webHidden/>
          </w:rPr>
          <w:fldChar w:fldCharType="begin"/>
        </w:r>
        <w:r w:rsidR="002367EF">
          <w:rPr>
            <w:noProof/>
            <w:webHidden/>
          </w:rPr>
          <w:instrText xml:space="preserve"> PAGEREF _Toc81831032 \h </w:instrText>
        </w:r>
        <w:r w:rsidR="002367EF">
          <w:rPr>
            <w:noProof/>
            <w:webHidden/>
          </w:rPr>
        </w:r>
        <w:r w:rsidR="002367EF">
          <w:rPr>
            <w:noProof/>
            <w:webHidden/>
          </w:rPr>
          <w:fldChar w:fldCharType="separate"/>
        </w:r>
        <w:r w:rsidR="002367EF">
          <w:rPr>
            <w:noProof/>
            <w:webHidden/>
          </w:rPr>
          <w:t>6</w:t>
        </w:r>
        <w:r w:rsidR="002367EF">
          <w:rPr>
            <w:noProof/>
            <w:webHidden/>
          </w:rPr>
          <w:fldChar w:fldCharType="end"/>
        </w:r>
      </w:hyperlink>
    </w:p>
    <w:p w14:paraId="1AFEBD4D" w14:textId="16E52CB3" w:rsidR="002367EF" w:rsidRDefault="00463140">
      <w:pPr>
        <w:pStyle w:val="TOC2"/>
        <w:rPr>
          <w:rFonts w:asciiTheme="minorHAnsi" w:eastAsiaTheme="minorEastAsia" w:hAnsiTheme="minorHAnsi" w:cstheme="minorBidi"/>
          <w:noProof/>
          <w:sz w:val="22"/>
          <w:szCs w:val="22"/>
          <w:lang w:val="en-US"/>
        </w:rPr>
      </w:pPr>
      <w:hyperlink w:anchor="_Toc81831033" w:history="1">
        <w:r w:rsidR="002367EF" w:rsidRPr="00914E8E">
          <w:rPr>
            <w:rStyle w:val="Hyperlink"/>
            <w:noProof/>
          </w:rPr>
          <w:t>ARTICLE II.3 – COMMUNICATION ENTRE LES PARTIES</w:t>
        </w:r>
        <w:r w:rsidR="002367EF">
          <w:rPr>
            <w:noProof/>
            <w:webHidden/>
          </w:rPr>
          <w:tab/>
        </w:r>
        <w:r w:rsidR="002367EF">
          <w:rPr>
            <w:noProof/>
            <w:webHidden/>
          </w:rPr>
          <w:fldChar w:fldCharType="begin"/>
        </w:r>
        <w:r w:rsidR="002367EF">
          <w:rPr>
            <w:noProof/>
            <w:webHidden/>
          </w:rPr>
          <w:instrText xml:space="preserve"> PAGEREF _Toc81831033 \h </w:instrText>
        </w:r>
        <w:r w:rsidR="002367EF">
          <w:rPr>
            <w:noProof/>
            <w:webHidden/>
          </w:rPr>
        </w:r>
        <w:r w:rsidR="002367EF">
          <w:rPr>
            <w:noProof/>
            <w:webHidden/>
          </w:rPr>
          <w:fldChar w:fldCharType="separate"/>
        </w:r>
        <w:r w:rsidR="002367EF">
          <w:rPr>
            <w:noProof/>
            <w:webHidden/>
          </w:rPr>
          <w:t>7</w:t>
        </w:r>
        <w:r w:rsidR="002367EF">
          <w:rPr>
            <w:noProof/>
            <w:webHidden/>
          </w:rPr>
          <w:fldChar w:fldCharType="end"/>
        </w:r>
      </w:hyperlink>
    </w:p>
    <w:p w14:paraId="39B0E879" w14:textId="3C2A6C9C" w:rsidR="002367EF" w:rsidRDefault="00463140">
      <w:pPr>
        <w:pStyle w:val="TOC3"/>
        <w:rPr>
          <w:rFonts w:asciiTheme="minorHAnsi" w:eastAsiaTheme="minorEastAsia" w:hAnsiTheme="minorHAnsi" w:cstheme="minorBidi"/>
          <w:noProof/>
          <w:sz w:val="22"/>
          <w:szCs w:val="22"/>
          <w:lang w:val="en-US"/>
        </w:rPr>
      </w:pPr>
      <w:hyperlink w:anchor="_Toc81831034" w:history="1">
        <w:r w:rsidR="002367EF" w:rsidRPr="00914E8E">
          <w:rPr>
            <w:rStyle w:val="Hyperlink"/>
            <w:noProof/>
          </w:rPr>
          <w:t>II.3.1 Forme et moyens de communication</w:t>
        </w:r>
        <w:r w:rsidR="002367EF">
          <w:rPr>
            <w:noProof/>
            <w:webHidden/>
          </w:rPr>
          <w:tab/>
        </w:r>
        <w:r w:rsidR="002367EF">
          <w:rPr>
            <w:noProof/>
            <w:webHidden/>
          </w:rPr>
          <w:fldChar w:fldCharType="begin"/>
        </w:r>
        <w:r w:rsidR="002367EF">
          <w:rPr>
            <w:noProof/>
            <w:webHidden/>
          </w:rPr>
          <w:instrText xml:space="preserve"> PAGEREF _Toc81831034 \h </w:instrText>
        </w:r>
        <w:r w:rsidR="002367EF">
          <w:rPr>
            <w:noProof/>
            <w:webHidden/>
          </w:rPr>
        </w:r>
        <w:r w:rsidR="002367EF">
          <w:rPr>
            <w:noProof/>
            <w:webHidden/>
          </w:rPr>
          <w:fldChar w:fldCharType="separate"/>
        </w:r>
        <w:r w:rsidR="002367EF">
          <w:rPr>
            <w:noProof/>
            <w:webHidden/>
          </w:rPr>
          <w:t>7</w:t>
        </w:r>
        <w:r w:rsidR="002367EF">
          <w:rPr>
            <w:noProof/>
            <w:webHidden/>
          </w:rPr>
          <w:fldChar w:fldCharType="end"/>
        </w:r>
      </w:hyperlink>
    </w:p>
    <w:p w14:paraId="52D337F5" w14:textId="62D24588" w:rsidR="002367EF" w:rsidRDefault="00463140">
      <w:pPr>
        <w:pStyle w:val="TOC3"/>
        <w:rPr>
          <w:rFonts w:asciiTheme="minorHAnsi" w:eastAsiaTheme="minorEastAsia" w:hAnsiTheme="minorHAnsi" w:cstheme="minorBidi"/>
          <w:noProof/>
          <w:sz w:val="22"/>
          <w:szCs w:val="22"/>
          <w:lang w:val="en-US"/>
        </w:rPr>
      </w:pPr>
      <w:hyperlink w:anchor="_Toc81831035" w:history="1">
        <w:r w:rsidR="002367EF" w:rsidRPr="00914E8E">
          <w:rPr>
            <w:rStyle w:val="Hyperlink"/>
            <w:noProof/>
          </w:rPr>
          <w:t>II.3.2 Date des communications</w:t>
        </w:r>
        <w:r w:rsidR="002367EF">
          <w:rPr>
            <w:noProof/>
            <w:webHidden/>
          </w:rPr>
          <w:tab/>
        </w:r>
        <w:r w:rsidR="002367EF">
          <w:rPr>
            <w:noProof/>
            <w:webHidden/>
          </w:rPr>
          <w:fldChar w:fldCharType="begin"/>
        </w:r>
        <w:r w:rsidR="002367EF">
          <w:rPr>
            <w:noProof/>
            <w:webHidden/>
          </w:rPr>
          <w:instrText xml:space="preserve"> PAGEREF _Toc81831035 \h </w:instrText>
        </w:r>
        <w:r w:rsidR="002367EF">
          <w:rPr>
            <w:noProof/>
            <w:webHidden/>
          </w:rPr>
        </w:r>
        <w:r w:rsidR="002367EF">
          <w:rPr>
            <w:noProof/>
            <w:webHidden/>
          </w:rPr>
          <w:fldChar w:fldCharType="separate"/>
        </w:r>
        <w:r w:rsidR="002367EF">
          <w:rPr>
            <w:noProof/>
            <w:webHidden/>
          </w:rPr>
          <w:t>7</w:t>
        </w:r>
        <w:r w:rsidR="002367EF">
          <w:rPr>
            <w:noProof/>
            <w:webHidden/>
          </w:rPr>
          <w:fldChar w:fldCharType="end"/>
        </w:r>
      </w:hyperlink>
    </w:p>
    <w:p w14:paraId="0C168F38" w14:textId="1708A216" w:rsidR="002367EF" w:rsidRDefault="00463140">
      <w:pPr>
        <w:pStyle w:val="TOC2"/>
        <w:rPr>
          <w:rFonts w:asciiTheme="minorHAnsi" w:eastAsiaTheme="minorEastAsia" w:hAnsiTheme="minorHAnsi" w:cstheme="minorBidi"/>
          <w:noProof/>
          <w:sz w:val="22"/>
          <w:szCs w:val="22"/>
          <w:lang w:val="en-US"/>
        </w:rPr>
      </w:pPr>
      <w:hyperlink w:anchor="_Toc81831036" w:history="1">
        <w:r w:rsidR="002367EF" w:rsidRPr="00914E8E">
          <w:rPr>
            <w:rStyle w:val="Hyperlink"/>
            <w:noProof/>
          </w:rPr>
          <w:t>ARTICLE II.4 – RESPONSABILITÉ DES DOMMAGES</w:t>
        </w:r>
        <w:r w:rsidR="002367EF">
          <w:rPr>
            <w:noProof/>
            <w:webHidden/>
          </w:rPr>
          <w:tab/>
        </w:r>
        <w:r w:rsidR="002367EF">
          <w:rPr>
            <w:noProof/>
            <w:webHidden/>
          </w:rPr>
          <w:fldChar w:fldCharType="begin"/>
        </w:r>
        <w:r w:rsidR="002367EF">
          <w:rPr>
            <w:noProof/>
            <w:webHidden/>
          </w:rPr>
          <w:instrText xml:space="preserve"> PAGEREF _Toc81831036 \h </w:instrText>
        </w:r>
        <w:r w:rsidR="002367EF">
          <w:rPr>
            <w:noProof/>
            <w:webHidden/>
          </w:rPr>
        </w:r>
        <w:r w:rsidR="002367EF">
          <w:rPr>
            <w:noProof/>
            <w:webHidden/>
          </w:rPr>
          <w:fldChar w:fldCharType="separate"/>
        </w:r>
        <w:r w:rsidR="002367EF">
          <w:rPr>
            <w:noProof/>
            <w:webHidden/>
          </w:rPr>
          <w:t>7</w:t>
        </w:r>
        <w:r w:rsidR="002367EF">
          <w:rPr>
            <w:noProof/>
            <w:webHidden/>
          </w:rPr>
          <w:fldChar w:fldCharType="end"/>
        </w:r>
      </w:hyperlink>
    </w:p>
    <w:p w14:paraId="58810952" w14:textId="61165B50" w:rsidR="002367EF" w:rsidRDefault="00463140">
      <w:pPr>
        <w:pStyle w:val="TOC2"/>
        <w:rPr>
          <w:rFonts w:asciiTheme="minorHAnsi" w:eastAsiaTheme="minorEastAsia" w:hAnsiTheme="minorHAnsi" w:cstheme="minorBidi"/>
          <w:noProof/>
          <w:sz w:val="22"/>
          <w:szCs w:val="22"/>
          <w:lang w:val="en-US"/>
        </w:rPr>
      </w:pPr>
      <w:hyperlink w:anchor="_Toc81831037" w:history="1">
        <w:r w:rsidR="002367EF" w:rsidRPr="00914E8E">
          <w:rPr>
            <w:rStyle w:val="Hyperlink"/>
            <w:noProof/>
          </w:rPr>
          <w:t>ARTICLE II.5 – CONFLIT D’INTÉRÊTS</w:t>
        </w:r>
        <w:r w:rsidR="002367EF">
          <w:rPr>
            <w:noProof/>
            <w:webHidden/>
          </w:rPr>
          <w:tab/>
        </w:r>
        <w:r w:rsidR="002367EF">
          <w:rPr>
            <w:noProof/>
            <w:webHidden/>
          </w:rPr>
          <w:fldChar w:fldCharType="begin"/>
        </w:r>
        <w:r w:rsidR="002367EF">
          <w:rPr>
            <w:noProof/>
            <w:webHidden/>
          </w:rPr>
          <w:instrText xml:space="preserve"> PAGEREF _Toc81831037 \h </w:instrText>
        </w:r>
        <w:r w:rsidR="002367EF">
          <w:rPr>
            <w:noProof/>
            <w:webHidden/>
          </w:rPr>
        </w:r>
        <w:r w:rsidR="002367EF">
          <w:rPr>
            <w:noProof/>
            <w:webHidden/>
          </w:rPr>
          <w:fldChar w:fldCharType="separate"/>
        </w:r>
        <w:r w:rsidR="002367EF">
          <w:rPr>
            <w:noProof/>
            <w:webHidden/>
          </w:rPr>
          <w:t>8</w:t>
        </w:r>
        <w:r w:rsidR="002367EF">
          <w:rPr>
            <w:noProof/>
            <w:webHidden/>
          </w:rPr>
          <w:fldChar w:fldCharType="end"/>
        </w:r>
      </w:hyperlink>
    </w:p>
    <w:p w14:paraId="694F6E8C" w14:textId="50BCCE5F" w:rsidR="002367EF" w:rsidRDefault="00463140">
      <w:pPr>
        <w:pStyle w:val="TOC2"/>
        <w:rPr>
          <w:rFonts w:asciiTheme="minorHAnsi" w:eastAsiaTheme="minorEastAsia" w:hAnsiTheme="minorHAnsi" w:cstheme="minorBidi"/>
          <w:noProof/>
          <w:sz w:val="22"/>
          <w:szCs w:val="22"/>
          <w:lang w:val="en-US"/>
        </w:rPr>
      </w:pPr>
      <w:hyperlink w:anchor="_Toc81831038" w:history="1">
        <w:r w:rsidR="002367EF" w:rsidRPr="00914E8E">
          <w:rPr>
            <w:rStyle w:val="Hyperlink"/>
            <w:noProof/>
          </w:rPr>
          <w:t>ARTICLE II.6 – CONFIDENTIALITÉ</w:t>
        </w:r>
        <w:r w:rsidR="002367EF">
          <w:rPr>
            <w:noProof/>
            <w:webHidden/>
          </w:rPr>
          <w:tab/>
        </w:r>
        <w:r w:rsidR="002367EF">
          <w:rPr>
            <w:noProof/>
            <w:webHidden/>
          </w:rPr>
          <w:fldChar w:fldCharType="begin"/>
        </w:r>
        <w:r w:rsidR="002367EF">
          <w:rPr>
            <w:noProof/>
            <w:webHidden/>
          </w:rPr>
          <w:instrText xml:space="preserve"> PAGEREF _Toc81831038 \h </w:instrText>
        </w:r>
        <w:r w:rsidR="002367EF">
          <w:rPr>
            <w:noProof/>
            <w:webHidden/>
          </w:rPr>
        </w:r>
        <w:r w:rsidR="002367EF">
          <w:rPr>
            <w:noProof/>
            <w:webHidden/>
          </w:rPr>
          <w:fldChar w:fldCharType="separate"/>
        </w:r>
        <w:r w:rsidR="002367EF">
          <w:rPr>
            <w:noProof/>
            <w:webHidden/>
          </w:rPr>
          <w:t>8</w:t>
        </w:r>
        <w:r w:rsidR="002367EF">
          <w:rPr>
            <w:noProof/>
            <w:webHidden/>
          </w:rPr>
          <w:fldChar w:fldCharType="end"/>
        </w:r>
      </w:hyperlink>
    </w:p>
    <w:p w14:paraId="2750CFF2" w14:textId="53C37B70" w:rsidR="002367EF" w:rsidRDefault="00463140">
      <w:pPr>
        <w:pStyle w:val="TOC2"/>
        <w:rPr>
          <w:rFonts w:asciiTheme="minorHAnsi" w:eastAsiaTheme="minorEastAsia" w:hAnsiTheme="minorHAnsi" w:cstheme="minorBidi"/>
          <w:noProof/>
          <w:sz w:val="22"/>
          <w:szCs w:val="22"/>
          <w:lang w:val="en-US"/>
        </w:rPr>
      </w:pPr>
      <w:hyperlink w:anchor="_Toc81831039" w:history="1">
        <w:r w:rsidR="002367EF" w:rsidRPr="00914E8E">
          <w:rPr>
            <w:rStyle w:val="Hyperlink"/>
            <w:noProof/>
          </w:rPr>
          <w:t>ARTICLE II.7 – TRAITEMENT DES DONNÉES À CARACTÈRE PERSONNEL</w:t>
        </w:r>
        <w:r w:rsidR="002367EF">
          <w:rPr>
            <w:noProof/>
            <w:webHidden/>
          </w:rPr>
          <w:tab/>
        </w:r>
        <w:r w:rsidR="002367EF">
          <w:rPr>
            <w:noProof/>
            <w:webHidden/>
          </w:rPr>
          <w:fldChar w:fldCharType="begin"/>
        </w:r>
        <w:r w:rsidR="002367EF">
          <w:rPr>
            <w:noProof/>
            <w:webHidden/>
          </w:rPr>
          <w:instrText xml:space="preserve"> PAGEREF _Toc81831039 \h </w:instrText>
        </w:r>
        <w:r w:rsidR="002367EF">
          <w:rPr>
            <w:noProof/>
            <w:webHidden/>
          </w:rPr>
        </w:r>
        <w:r w:rsidR="002367EF">
          <w:rPr>
            <w:noProof/>
            <w:webHidden/>
          </w:rPr>
          <w:fldChar w:fldCharType="separate"/>
        </w:r>
        <w:r w:rsidR="002367EF">
          <w:rPr>
            <w:noProof/>
            <w:webHidden/>
          </w:rPr>
          <w:t>8</w:t>
        </w:r>
        <w:r w:rsidR="002367EF">
          <w:rPr>
            <w:noProof/>
            <w:webHidden/>
          </w:rPr>
          <w:fldChar w:fldCharType="end"/>
        </w:r>
      </w:hyperlink>
    </w:p>
    <w:p w14:paraId="62463DA5" w14:textId="0B157039" w:rsidR="002367EF" w:rsidRDefault="00463140">
      <w:pPr>
        <w:pStyle w:val="TOC3"/>
        <w:tabs>
          <w:tab w:val="left" w:pos="1916"/>
        </w:tabs>
        <w:rPr>
          <w:rFonts w:asciiTheme="minorHAnsi" w:eastAsiaTheme="minorEastAsia" w:hAnsiTheme="minorHAnsi" w:cstheme="minorBidi"/>
          <w:noProof/>
          <w:sz w:val="22"/>
          <w:szCs w:val="22"/>
          <w:lang w:val="en-US"/>
        </w:rPr>
      </w:pPr>
      <w:hyperlink w:anchor="_Toc81831040" w:history="1">
        <w:r w:rsidR="002367EF" w:rsidRPr="00914E8E">
          <w:rPr>
            <w:rStyle w:val="Hyperlink"/>
            <w:noProof/>
          </w:rPr>
          <w:t>II.7.1</w:t>
        </w:r>
        <w:r w:rsidR="002367EF">
          <w:rPr>
            <w:rFonts w:asciiTheme="minorHAnsi" w:eastAsiaTheme="minorEastAsia" w:hAnsiTheme="minorHAnsi" w:cstheme="minorBidi"/>
            <w:noProof/>
            <w:sz w:val="22"/>
            <w:szCs w:val="22"/>
            <w:lang w:val="en-US"/>
          </w:rPr>
          <w:tab/>
        </w:r>
        <w:r w:rsidR="002367EF" w:rsidRPr="00914E8E">
          <w:rPr>
            <w:rStyle w:val="Hyperlink"/>
            <w:noProof/>
          </w:rPr>
          <w:t>Traitement des données à caractère personnel par la Commission</w:t>
        </w:r>
        <w:r w:rsidR="002367EF">
          <w:rPr>
            <w:noProof/>
            <w:webHidden/>
          </w:rPr>
          <w:tab/>
        </w:r>
        <w:r w:rsidR="002367EF">
          <w:rPr>
            <w:noProof/>
            <w:webHidden/>
          </w:rPr>
          <w:fldChar w:fldCharType="begin"/>
        </w:r>
        <w:r w:rsidR="002367EF">
          <w:rPr>
            <w:noProof/>
            <w:webHidden/>
          </w:rPr>
          <w:instrText xml:space="preserve"> PAGEREF _Toc81831040 \h </w:instrText>
        </w:r>
        <w:r w:rsidR="002367EF">
          <w:rPr>
            <w:noProof/>
            <w:webHidden/>
          </w:rPr>
        </w:r>
        <w:r w:rsidR="002367EF">
          <w:rPr>
            <w:noProof/>
            <w:webHidden/>
          </w:rPr>
          <w:fldChar w:fldCharType="separate"/>
        </w:r>
        <w:r w:rsidR="002367EF">
          <w:rPr>
            <w:noProof/>
            <w:webHidden/>
          </w:rPr>
          <w:t>8</w:t>
        </w:r>
        <w:r w:rsidR="002367EF">
          <w:rPr>
            <w:noProof/>
            <w:webHidden/>
          </w:rPr>
          <w:fldChar w:fldCharType="end"/>
        </w:r>
      </w:hyperlink>
    </w:p>
    <w:p w14:paraId="3BB7CEC4" w14:textId="357DAD0F" w:rsidR="002367EF" w:rsidRDefault="00463140">
      <w:pPr>
        <w:pStyle w:val="TOC3"/>
        <w:tabs>
          <w:tab w:val="left" w:pos="1916"/>
        </w:tabs>
        <w:rPr>
          <w:rFonts w:asciiTheme="minorHAnsi" w:eastAsiaTheme="minorEastAsia" w:hAnsiTheme="minorHAnsi" w:cstheme="minorBidi"/>
          <w:noProof/>
          <w:sz w:val="22"/>
          <w:szCs w:val="22"/>
          <w:lang w:val="en-US"/>
        </w:rPr>
      </w:pPr>
      <w:hyperlink w:anchor="_Toc81831041" w:history="1">
        <w:r w:rsidR="002367EF" w:rsidRPr="00914E8E">
          <w:rPr>
            <w:rStyle w:val="Hyperlink"/>
            <w:noProof/>
          </w:rPr>
          <w:t>II.7.2</w:t>
        </w:r>
        <w:r w:rsidR="002367EF">
          <w:rPr>
            <w:rFonts w:asciiTheme="minorHAnsi" w:eastAsiaTheme="minorEastAsia" w:hAnsiTheme="minorHAnsi" w:cstheme="minorBidi"/>
            <w:noProof/>
            <w:sz w:val="22"/>
            <w:szCs w:val="22"/>
            <w:lang w:val="en-US"/>
          </w:rPr>
          <w:tab/>
        </w:r>
        <w:r w:rsidR="002367EF" w:rsidRPr="00914E8E">
          <w:rPr>
            <w:rStyle w:val="Hyperlink"/>
            <w:noProof/>
          </w:rPr>
          <w:t>Traitement des données à caractère personnel par le bénéficiaire</w:t>
        </w:r>
        <w:r w:rsidR="002367EF">
          <w:rPr>
            <w:noProof/>
            <w:webHidden/>
          </w:rPr>
          <w:tab/>
        </w:r>
        <w:r w:rsidR="002367EF">
          <w:rPr>
            <w:noProof/>
            <w:webHidden/>
          </w:rPr>
          <w:fldChar w:fldCharType="begin"/>
        </w:r>
        <w:r w:rsidR="002367EF">
          <w:rPr>
            <w:noProof/>
            <w:webHidden/>
          </w:rPr>
          <w:instrText xml:space="preserve"> PAGEREF _Toc81831041 \h </w:instrText>
        </w:r>
        <w:r w:rsidR="002367EF">
          <w:rPr>
            <w:noProof/>
            <w:webHidden/>
          </w:rPr>
        </w:r>
        <w:r w:rsidR="002367EF">
          <w:rPr>
            <w:noProof/>
            <w:webHidden/>
          </w:rPr>
          <w:fldChar w:fldCharType="separate"/>
        </w:r>
        <w:r w:rsidR="002367EF">
          <w:rPr>
            <w:noProof/>
            <w:webHidden/>
          </w:rPr>
          <w:t>9</w:t>
        </w:r>
        <w:r w:rsidR="002367EF">
          <w:rPr>
            <w:noProof/>
            <w:webHidden/>
          </w:rPr>
          <w:fldChar w:fldCharType="end"/>
        </w:r>
      </w:hyperlink>
    </w:p>
    <w:p w14:paraId="1583F74B" w14:textId="7C26D16D" w:rsidR="002367EF" w:rsidRDefault="00463140">
      <w:pPr>
        <w:pStyle w:val="TOC2"/>
        <w:rPr>
          <w:rFonts w:asciiTheme="minorHAnsi" w:eastAsiaTheme="minorEastAsia" w:hAnsiTheme="minorHAnsi" w:cstheme="minorBidi"/>
          <w:noProof/>
          <w:sz w:val="22"/>
          <w:szCs w:val="22"/>
          <w:lang w:val="en-US"/>
        </w:rPr>
      </w:pPr>
      <w:hyperlink w:anchor="_Toc81831042" w:history="1">
        <w:r w:rsidR="002367EF" w:rsidRPr="00914E8E">
          <w:rPr>
            <w:rStyle w:val="Hyperlink"/>
            <w:noProof/>
          </w:rPr>
          <w:t>ARTICLE II.8 – VISIBILITÉ DU FINANCEMENT PAR L’UNION</w:t>
        </w:r>
        <w:r w:rsidR="002367EF">
          <w:rPr>
            <w:noProof/>
            <w:webHidden/>
          </w:rPr>
          <w:tab/>
        </w:r>
        <w:r w:rsidR="002367EF">
          <w:rPr>
            <w:noProof/>
            <w:webHidden/>
          </w:rPr>
          <w:fldChar w:fldCharType="begin"/>
        </w:r>
        <w:r w:rsidR="002367EF">
          <w:rPr>
            <w:noProof/>
            <w:webHidden/>
          </w:rPr>
          <w:instrText xml:space="preserve"> PAGEREF _Toc81831042 \h </w:instrText>
        </w:r>
        <w:r w:rsidR="002367EF">
          <w:rPr>
            <w:noProof/>
            <w:webHidden/>
          </w:rPr>
        </w:r>
        <w:r w:rsidR="002367EF">
          <w:rPr>
            <w:noProof/>
            <w:webHidden/>
          </w:rPr>
          <w:fldChar w:fldCharType="separate"/>
        </w:r>
        <w:r w:rsidR="002367EF">
          <w:rPr>
            <w:noProof/>
            <w:webHidden/>
          </w:rPr>
          <w:t>9</w:t>
        </w:r>
        <w:r w:rsidR="002367EF">
          <w:rPr>
            <w:noProof/>
            <w:webHidden/>
          </w:rPr>
          <w:fldChar w:fldCharType="end"/>
        </w:r>
      </w:hyperlink>
    </w:p>
    <w:p w14:paraId="02B2B3AB" w14:textId="2822C361" w:rsidR="002367EF" w:rsidRDefault="00463140">
      <w:pPr>
        <w:pStyle w:val="TOC3"/>
        <w:tabs>
          <w:tab w:val="left" w:pos="1916"/>
        </w:tabs>
        <w:rPr>
          <w:rFonts w:asciiTheme="minorHAnsi" w:eastAsiaTheme="minorEastAsia" w:hAnsiTheme="minorHAnsi" w:cstheme="minorBidi"/>
          <w:noProof/>
          <w:sz w:val="22"/>
          <w:szCs w:val="22"/>
          <w:lang w:val="en-US"/>
        </w:rPr>
      </w:pPr>
      <w:hyperlink w:anchor="_Toc81831043" w:history="1">
        <w:r w:rsidR="002367EF" w:rsidRPr="00914E8E">
          <w:rPr>
            <w:rStyle w:val="Hyperlink"/>
            <w:noProof/>
          </w:rPr>
          <w:t>II.8.1</w:t>
        </w:r>
        <w:r w:rsidR="002367EF">
          <w:rPr>
            <w:rFonts w:asciiTheme="minorHAnsi" w:eastAsiaTheme="minorEastAsia" w:hAnsiTheme="minorHAnsi" w:cstheme="minorBidi"/>
            <w:noProof/>
            <w:sz w:val="22"/>
            <w:szCs w:val="22"/>
            <w:lang w:val="en-US"/>
          </w:rPr>
          <w:tab/>
        </w:r>
        <w:r w:rsidR="002367EF" w:rsidRPr="00914E8E">
          <w:rPr>
            <w:rStyle w:val="Hyperlink"/>
            <w:noProof/>
          </w:rPr>
          <w:t>Informations relatives au financement par l’Union et utilisation de l’emblème de l’UE</w:t>
        </w:r>
        <w:r w:rsidR="002367EF">
          <w:rPr>
            <w:noProof/>
            <w:webHidden/>
          </w:rPr>
          <w:tab/>
        </w:r>
        <w:r w:rsidR="002367EF">
          <w:rPr>
            <w:noProof/>
            <w:webHidden/>
          </w:rPr>
          <w:fldChar w:fldCharType="begin"/>
        </w:r>
        <w:r w:rsidR="002367EF">
          <w:rPr>
            <w:noProof/>
            <w:webHidden/>
          </w:rPr>
          <w:instrText xml:space="preserve"> PAGEREF _Toc81831043 \h </w:instrText>
        </w:r>
        <w:r w:rsidR="002367EF">
          <w:rPr>
            <w:noProof/>
            <w:webHidden/>
          </w:rPr>
        </w:r>
        <w:r w:rsidR="002367EF">
          <w:rPr>
            <w:noProof/>
            <w:webHidden/>
          </w:rPr>
          <w:fldChar w:fldCharType="separate"/>
        </w:r>
        <w:r w:rsidR="002367EF">
          <w:rPr>
            <w:noProof/>
            <w:webHidden/>
          </w:rPr>
          <w:t>9</w:t>
        </w:r>
        <w:r w:rsidR="002367EF">
          <w:rPr>
            <w:noProof/>
            <w:webHidden/>
          </w:rPr>
          <w:fldChar w:fldCharType="end"/>
        </w:r>
      </w:hyperlink>
    </w:p>
    <w:p w14:paraId="1CA35C2C" w14:textId="1395D87B" w:rsidR="002367EF" w:rsidRDefault="00463140">
      <w:pPr>
        <w:pStyle w:val="TOC3"/>
        <w:tabs>
          <w:tab w:val="left" w:pos="1916"/>
        </w:tabs>
        <w:rPr>
          <w:rFonts w:asciiTheme="minorHAnsi" w:eastAsiaTheme="minorEastAsia" w:hAnsiTheme="minorHAnsi" w:cstheme="minorBidi"/>
          <w:noProof/>
          <w:sz w:val="22"/>
          <w:szCs w:val="22"/>
          <w:lang w:val="en-US"/>
        </w:rPr>
      </w:pPr>
      <w:hyperlink w:anchor="_Toc81831044" w:history="1">
        <w:r w:rsidR="002367EF" w:rsidRPr="00914E8E">
          <w:rPr>
            <w:rStyle w:val="Hyperlink"/>
            <w:noProof/>
          </w:rPr>
          <w:t>II.8.2</w:t>
        </w:r>
        <w:r w:rsidR="002367EF">
          <w:rPr>
            <w:rFonts w:asciiTheme="minorHAnsi" w:eastAsiaTheme="minorEastAsia" w:hAnsiTheme="minorHAnsi" w:cstheme="minorBidi"/>
            <w:noProof/>
            <w:sz w:val="22"/>
            <w:szCs w:val="22"/>
            <w:lang w:val="en-US"/>
          </w:rPr>
          <w:tab/>
        </w:r>
        <w:r w:rsidR="002367EF" w:rsidRPr="00914E8E">
          <w:rPr>
            <w:rStyle w:val="Hyperlink"/>
            <w:noProof/>
          </w:rPr>
          <w:t>Avis excluant la responsabilité de la Commission</w:t>
        </w:r>
        <w:r w:rsidR="002367EF">
          <w:rPr>
            <w:noProof/>
            <w:webHidden/>
          </w:rPr>
          <w:tab/>
        </w:r>
        <w:r w:rsidR="002367EF">
          <w:rPr>
            <w:noProof/>
            <w:webHidden/>
          </w:rPr>
          <w:fldChar w:fldCharType="begin"/>
        </w:r>
        <w:r w:rsidR="002367EF">
          <w:rPr>
            <w:noProof/>
            <w:webHidden/>
          </w:rPr>
          <w:instrText xml:space="preserve"> PAGEREF _Toc81831044 \h </w:instrText>
        </w:r>
        <w:r w:rsidR="002367EF">
          <w:rPr>
            <w:noProof/>
            <w:webHidden/>
          </w:rPr>
        </w:r>
        <w:r w:rsidR="002367EF">
          <w:rPr>
            <w:noProof/>
            <w:webHidden/>
          </w:rPr>
          <w:fldChar w:fldCharType="separate"/>
        </w:r>
        <w:r w:rsidR="002367EF">
          <w:rPr>
            <w:noProof/>
            <w:webHidden/>
          </w:rPr>
          <w:t>10</w:t>
        </w:r>
        <w:r w:rsidR="002367EF">
          <w:rPr>
            <w:noProof/>
            <w:webHidden/>
          </w:rPr>
          <w:fldChar w:fldCharType="end"/>
        </w:r>
      </w:hyperlink>
    </w:p>
    <w:p w14:paraId="4213CE8A" w14:textId="7AC90B5F" w:rsidR="002367EF" w:rsidRDefault="00463140">
      <w:pPr>
        <w:pStyle w:val="TOC2"/>
        <w:rPr>
          <w:rFonts w:asciiTheme="minorHAnsi" w:eastAsiaTheme="minorEastAsia" w:hAnsiTheme="minorHAnsi" w:cstheme="minorBidi"/>
          <w:noProof/>
          <w:sz w:val="22"/>
          <w:szCs w:val="22"/>
          <w:lang w:val="en-US"/>
        </w:rPr>
      </w:pPr>
      <w:hyperlink w:anchor="_Toc81831045" w:history="1">
        <w:r w:rsidR="002367EF" w:rsidRPr="00914E8E">
          <w:rPr>
            <w:rStyle w:val="Hyperlink"/>
            <w:noProof/>
          </w:rPr>
          <w:t>ARTICLE II.9 – DROITS PRÉEXISTANTS, PROPRIÉTÉ ET UTILISATION DES RÉSULTATS (Y COMPRIS DROITS DE PROPRIÉTÉ INTELLECTUELLE ET INDUSTRIELLE)</w:t>
        </w:r>
        <w:r w:rsidR="002367EF">
          <w:rPr>
            <w:noProof/>
            <w:webHidden/>
          </w:rPr>
          <w:tab/>
        </w:r>
        <w:r w:rsidR="002367EF">
          <w:rPr>
            <w:noProof/>
            <w:webHidden/>
          </w:rPr>
          <w:fldChar w:fldCharType="begin"/>
        </w:r>
        <w:r w:rsidR="002367EF">
          <w:rPr>
            <w:noProof/>
            <w:webHidden/>
          </w:rPr>
          <w:instrText xml:space="preserve"> PAGEREF _Toc81831045 \h </w:instrText>
        </w:r>
        <w:r w:rsidR="002367EF">
          <w:rPr>
            <w:noProof/>
            <w:webHidden/>
          </w:rPr>
        </w:r>
        <w:r w:rsidR="002367EF">
          <w:rPr>
            <w:noProof/>
            <w:webHidden/>
          </w:rPr>
          <w:fldChar w:fldCharType="separate"/>
        </w:r>
        <w:r w:rsidR="002367EF">
          <w:rPr>
            <w:noProof/>
            <w:webHidden/>
          </w:rPr>
          <w:t>10</w:t>
        </w:r>
        <w:r w:rsidR="002367EF">
          <w:rPr>
            <w:noProof/>
            <w:webHidden/>
          </w:rPr>
          <w:fldChar w:fldCharType="end"/>
        </w:r>
      </w:hyperlink>
    </w:p>
    <w:p w14:paraId="0CE76AB7" w14:textId="03FFED6C" w:rsidR="002367EF" w:rsidRDefault="00463140">
      <w:pPr>
        <w:pStyle w:val="TOC3"/>
        <w:tabs>
          <w:tab w:val="left" w:pos="1916"/>
        </w:tabs>
        <w:rPr>
          <w:rFonts w:asciiTheme="minorHAnsi" w:eastAsiaTheme="minorEastAsia" w:hAnsiTheme="minorHAnsi" w:cstheme="minorBidi"/>
          <w:noProof/>
          <w:sz w:val="22"/>
          <w:szCs w:val="22"/>
          <w:lang w:val="en-US"/>
        </w:rPr>
      </w:pPr>
      <w:hyperlink w:anchor="_Toc81831046" w:history="1">
        <w:r w:rsidR="002367EF" w:rsidRPr="00914E8E">
          <w:rPr>
            <w:rStyle w:val="Hyperlink"/>
            <w:noProof/>
          </w:rPr>
          <w:t>II.9.1</w:t>
        </w:r>
        <w:r w:rsidR="002367EF">
          <w:rPr>
            <w:rFonts w:asciiTheme="minorHAnsi" w:eastAsiaTheme="minorEastAsia" w:hAnsiTheme="minorHAnsi" w:cstheme="minorBidi"/>
            <w:noProof/>
            <w:sz w:val="22"/>
            <w:szCs w:val="22"/>
            <w:lang w:val="en-US"/>
          </w:rPr>
          <w:tab/>
        </w:r>
        <w:r w:rsidR="002367EF" w:rsidRPr="00914E8E">
          <w:rPr>
            <w:rStyle w:val="Hyperlink"/>
            <w:noProof/>
          </w:rPr>
          <w:t>Propriété des résultats détenue par le bénéficiaire</w:t>
        </w:r>
        <w:r w:rsidR="002367EF">
          <w:rPr>
            <w:noProof/>
            <w:webHidden/>
          </w:rPr>
          <w:tab/>
        </w:r>
        <w:r w:rsidR="002367EF">
          <w:rPr>
            <w:noProof/>
            <w:webHidden/>
          </w:rPr>
          <w:fldChar w:fldCharType="begin"/>
        </w:r>
        <w:r w:rsidR="002367EF">
          <w:rPr>
            <w:noProof/>
            <w:webHidden/>
          </w:rPr>
          <w:instrText xml:space="preserve"> PAGEREF _Toc81831046 \h </w:instrText>
        </w:r>
        <w:r w:rsidR="002367EF">
          <w:rPr>
            <w:noProof/>
            <w:webHidden/>
          </w:rPr>
        </w:r>
        <w:r w:rsidR="002367EF">
          <w:rPr>
            <w:noProof/>
            <w:webHidden/>
          </w:rPr>
          <w:fldChar w:fldCharType="separate"/>
        </w:r>
        <w:r w:rsidR="002367EF">
          <w:rPr>
            <w:noProof/>
            <w:webHidden/>
          </w:rPr>
          <w:t>10</w:t>
        </w:r>
        <w:r w:rsidR="002367EF">
          <w:rPr>
            <w:noProof/>
            <w:webHidden/>
          </w:rPr>
          <w:fldChar w:fldCharType="end"/>
        </w:r>
      </w:hyperlink>
    </w:p>
    <w:p w14:paraId="24F59525" w14:textId="3B546D3F" w:rsidR="002367EF" w:rsidRDefault="00463140">
      <w:pPr>
        <w:pStyle w:val="TOC3"/>
        <w:tabs>
          <w:tab w:val="left" w:pos="1916"/>
        </w:tabs>
        <w:rPr>
          <w:rFonts w:asciiTheme="minorHAnsi" w:eastAsiaTheme="minorEastAsia" w:hAnsiTheme="minorHAnsi" w:cstheme="minorBidi"/>
          <w:noProof/>
          <w:sz w:val="22"/>
          <w:szCs w:val="22"/>
          <w:lang w:val="en-US"/>
        </w:rPr>
      </w:pPr>
      <w:hyperlink w:anchor="_Toc81831047" w:history="1">
        <w:r w:rsidR="002367EF" w:rsidRPr="00914E8E">
          <w:rPr>
            <w:rStyle w:val="Hyperlink"/>
            <w:noProof/>
          </w:rPr>
          <w:t>II.9.2</w:t>
        </w:r>
        <w:r w:rsidR="002367EF">
          <w:rPr>
            <w:rFonts w:asciiTheme="minorHAnsi" w:eastAsiaTheme="minorEastAsia" w:hAnsiTheme="minorHAnsi" w:cstheme="minorBidi"/>
            <w:noProof/>
            <w:sz w:val="22"/>
            <w:szCs w:val="22"/>
            <w:lang w:val="en-US"/>
          </w:rPr>
          <w:tab/>
        </w:r>
        <w:r w:rsidR="002367EF" w:rsidRPr="00914E8E">
          <w:rPr>
            <w:rStyle w:val="Hyperlink"/>
            <w:noProof/>
          </w:rPr>
          <w:t>Droits préexistants</w:t>
        </w:r>
        <w:r w:rsidR="002367EF">
          <w:rPr>
            <w:noProof/>
            <w:webHidden/>
          </w:rPr>
          <w:tab/>
        </w:r>
        <w:r w:rsidR="002367EF">
          <w:rPr>
            <w:noProof/>
            <w:webHidden/>
          </w:rPr>
          <w:fldChar w:fldCharType="begin"/>
        </w:r>
        <w:r w:rsidR="002367EF">
          <w:rPr>
            <w:noProof/>
            <w:webHidden/>
          </w:rPr>
          <w:instrText xml:space="preserve"> PAGEREF _Toc81831047 \h </w:instrText>
        </w:r>
        <w:r w:rsidR="002367EF">
          <w:rPr>
            <w:noProof/>
            <w:webHidden/>
          </w:rPr>
        </w:r>
        <w:r w:rsidR="002367EF">
          <w:rPr>
            <w:noProof/>
            <w:webHidden/>
          </w:rPr>
          <w:fldChar w:fldCharType="separate"/>
        </w:r>
        <w:r w:rsidR="002367EF">
          <w:rPr>
            <w:noProof/>
            <w:webHidden/>
          </w:rPr>
          <w:t>10</w:t>
        </w:r>
        <w:r w:rsidR="002367EF">
          <w:rPr>
            <w:noProof/>
            <w:webHidden/>
          </w:rPr>
          <w:fldChar w:fldCharType="end"/>
        </w:r>
      </w:hyperlink>
    </w:p>
    <w:p w14:paraId="7C677BC9" w14:textId="3EB6808D" w:rsidR="002367EF" w:rsidRDefault="00463140">
      <w:pPr>
        <w:pStyle w:val="TOC3"/>
        <w:tabs>
          <w:tab w:val="left" w:pos="1916"/>
        </w:tabs>
        <w:rPr>
          <w:rFonts w:asciiTheme="minorHAnsi" w:eastAsiaTheme="minorEastAsia" w:hAnsiTheme="minorHAnsi" w:cstheme="minorBidi"/>
          <w:noProof/>
          <w:sz w:val="22"/>
          <w:szCs w:val="22"/>
          <w:lang w:val="en-US"/>
        </w:rPr>
      </w:pPr>
      <w:hyperlink w:anchor="_Toc81831048" w:history="1">
        <w:r w:rsidR="002367EF" w:rsidRPr="00914E8E">
          <w:rPr>
            <w:rStyle w:val="Hyperlink"/>
            <w:noProof/>
          </w:rPr>
          <w:t>II.9.3</w:t>
        </w:r>
        <w:r w:rsidR="002367EF">
          <w:rPr>
            <w:rFonts w:asciiTheme="minorHAnsi" w:eastAsiaTheme="minorEastAsia" w:hAnsiTheme="minorHAnsi" w:cstheme="minorBidi"/>
            <w:noProof/>
            <w:sz w:val="22"/>
            <w:szCs w:val="22"/>
            <w:lang w:val="en-US"/>
          </w:rPr>
          <w:tab/>
        </w:r>
        <w:r w:rsidR="002367EF" w:rsidRPr="00914E8E">
          <w:rPr>
            <w:rStyle w:val="Hyperlink"/>
            <w:noProof/>
          </w:rPr>
          <w:t>Droits d’utilisation des résultats et des droits préexistants par l’Union</w:t>
        </w:r>
        <w:r w:rsidR="002367EF">
          <w:rPr>
            <w:noProof/>
            <w:webHidden/>
          </w:rPr>
          <w:tab/>
        </w:r>
        <w:r w:rsidR="002367EF">
          <w:rPr>
            <w:noProof/>
            <w:webHidden/>
          </w:rPr>
          <w:fldChar w:fldCharType="begin"/>
        </w:r>
        <w:r w:rsidR="002367EF">
          <w:rPr>
            <w:noProof/>
            <w:webHidden/>
          </w:rPr>
          <w:instrText xml:space="preserve"> PAGEREF _Toc81831048 \h </w:instrText>
        </w:r>
        <w:r w:rsidR="002367EF">
          <w:rPr>
            <w:noProof/>
            <w:webHidden/>
          </w:rPr>
        </w:r>
        <w:r w:rsidR="002367EF">
          <w:rPr>
            <w:noProof/>
            <w:webHidden/>
          </w:rPr>
          <w:fldChar w:fldCharType="separate"/>
        </w:r>
        <w:r w:rsidR="002367EF">
          <w:rPr>
            <w:noProof/>
            <w:webHidden/>
          </w:rPr>
          <w:t>10</w:t>
        </w:r>
        <w:r w:rsidR="002367EF">
          <w:rPr>
            <w:noProof/>
            <w:webHidden/>
          </w:rPr>
          <w:fldChar w:fldCharType="end"/>
        </w:r>
      </w:hyperlink>
    </w:p>
    <w:p w14:paraId="2904DBEF" w14:textId="52543013" w:rsidR="002367EF" w:rsidRDefault="00463140">
      <w:pPr>
        <w:pStyle w:val="TOC2"/>
        <w:rPr>
          <w:rFonts w:asciiTheme="minorHAnsi" w:eastAsiaTheme="minorEastAsia" w:hAnsiTheme="minorHAnsi" w:cstheme="minorBidi"/>
          <w:noProof/>
          <w:sz w:val="22"/>
          <w:szCs w:val="22"/>
          <w:lang w:val="en-US"/>
        </w:rPr>
      </w:pPr>
      <w:hyperlink w:anchor="_Toc81831049" w:history="1">
        <w:r w:rsidR="002367EF" w:rsidRPr="00914E8E">
          <w:rPr>
            <w:rStyle w:val="Hyperlink"/>
            <w:noProof/>
          </w:rPr>
          <w:t>ARTICLE II.10 – PASSATION DES MARCHÉS NÉCESSAIRES À L’EXÉCUTION DE L’ACTION</w:t>
        </w:r>
        <w:r w:rsidR="002367EF">
          <w:rPr>
            <w:noProof/>
            <w:webHidden/>
          </w:rPr>
          <w:tab/>
        </w:r>
        <w:r w:rsidR="002367EF">
          <w:rPr>
            <w:noProof/>
            <w:webHidden/>
          </w:rPr>
          <w:fldChar w:fldCharType="begin"/>
        </w:r>
        <w:r w:rsidR="002367EF">
          <w:rPr>
            <w:noProof/>
            <w:webHidden/>
          </w:rPr>
          <w:instrText xml:space="preserve"> PAGEREF _Toc81831049 \h </w:instrText>
        </w:r>
        <w:r w:rsidR="002367EF">
          <w:rPr>
            <w:noProof/>
            <w:webHidden/>
          </w:rPr>
        </w:r>
        <w:r w:rsidR="002367EF">
          <w:rPr>
            <w:noProof/>
            <w:webHidden/>
          </w:rPr>
          <w:fldChar w:fldCharType="separate"/>
        </w:r>
        <w:r w:rsidR="002367EF">
          <w:rPr>
            <w:noProof/>
            <w:webHidden/>
          </w:rPr>
          <w:t>11</w:t>
        </w:r>
        <w:r w:rsidR="002367EF">
          <w:rPr>
            <w:noProof/>
            <w:webHidden/>
          </w:rPr>
          <w:fldChar w:fldCharType="end"/>
        </w:r>
      </w:hyperlink>
    </w:p>
    <w:p w14:paraId="3A763ADD" w14:textId="07CCA294" w:rsidR="002367EF" w:rsidRDefault="00463140">
      <w:pPr>
        <w:pStyle w:val="TOC2"/>
        <w:rPr>
          <w:rFonts w:asciiTheme="minorHAnsi" w:eastAsiaTheme="minorEastAsia" w:hAnsiTheme="minorHAnsi" w:cstheme="minorBidi"/>
          <w:noProof/>
          <w:sz w:val="22"/>
          <w:szCs w:val="22"/>
          <w:lang w:val="en-US"/>
        </w:rPr>
      </w:pPr>
      <w:hyperlink w:anchor="_Toc81831050" w:history="1">
        <w:r w:rsidR="002367EF" w:rsidRPr="00914E8E">
          <w:rPr>
            <w:rStyle w:val="Hyperlink"/>
            <w:noProof/>
          </w:rPr>
          <w:t>ARTICLE II.11 – SOUS-TRAITANCE DE TÂCHES FAISANT PARTIE DE L’ACTION</w:t>
        </w:r>
        <w:r w:rsidR="002367EF">
          <w:rPr>
            <w:noProof/>
            <w:webHidden/>
          </w:rPr>
          <w:tab/>
        </w:r>
        <w:r w:rsidR="002367EF">
          <w:rPr>
            <w:noProof/>
            <w:webHidden/>
          </w:rPr>
          <w:fldChar w:fldCharType="begin"/>
        </w:r>
        <w:r w:rsidR="002367EF">
          <w:rPr>
            <w:noProof/>
            <w:webHidden/>
          </w:rPr>
          <w:instrText xml:space="preserve"> PAGEREF _Toc81831050 \h </w:instrText>
        </w:r>
        <w:r w:rsidR="002367EF">
          <w:rPr>
            <w:noProof/>
            <w:webHidden/>
          </w:rPr>
        </w:r>
        <w:r w:rsidR="002367EF">
          <w:rPr>
            <w:noProof/>
            <w:webHidden/>
          </w:rPr>
          <w:fldChar w:fldCharType="separate"/>
        </w:r>
        <w:r w:rsidR="002367EF">
          <w:rPr>
            <w:noProof/>
            <w:webHidden/>
          </w:rPr>
          <w:t>12</w:t>
        </w:r>
        <w:r w:rsidR="002367EF">
          <w:rPr>
            <w:noProof/>
            <w:webHidden/>
          </w:rPr>
          <w:fldChar w:fldCharType="end"/>
        </w:r>
      </w:hyperlink>
    </w:p>
    <w:p w14:paraId="64BCFE5C" w14:textId="33CBA7AC" w:rsidR="002367EF" w:rsidRDefault="00463140">
      <w:pPr>
        <w:pStyle w:val="TOC2"/>
        <w:rPr>
          <w:rFonts w:asciiTheme="minorHAnsi" w:eastAsiaTheme="minorEastAsia" w:hAnsiTheme="minorHAnsi" w:cstheme="minorBidi"/>
          <w:noProof/>
          <w:sz w:val="22"/>
          <w:szCs w:val="22"/>
          <w:lang w:val="en-US"/>
        </w:rPr>
      </w:pPr>
      <w:hyperlink w:anchor="_Toc81831051" w:history="1">
        <w:r w:rsidR="002367EF" w:rsidRPr="00914E8E">
          <w:rPr>
            <w:rStyle w:val="Hyperlink"/>
            <w:noProof/>
          </w:rPr>
          <w:t>ARTICLE II.12 – SOUTIEN FINANCIER À DES TIERS</w:t>
        </w:r>
        <w:r w:rsidR="002367EF">
          <w:rPr>
            <w:noProof/>
            <w:webHidden/>
          </w:rPr>
          <w:tab/>
        </w:r>
        <w:r w:rsidR="002367EF">
          <w:rPr>
            <w:noProof/>
            <w:webHidden/>
          </w:rPr>
          <w:fldChar w:fldCharType="begin"/>
        </w:r>
        <w:r w:rsidR="002367EF">
          <w:rPr>
            <w:noProof/>
            <w:webHidden/>
          </w:rPr>
          <w:instrText xml:space="preserve"> PAGEREF _Toc81831051 \h </w:instrText>
        </w:r>
        <w:r w:rsidR="002367EF">
          <w:rPr>
            <w:noProof/>
            <w:webHidden/>
          </w:rPr>
        </w:r>
        <w:r w:rsidR="002367EF">
          <w:rPr>
            <w:noProof/>
            <w:webHidden/>
          </w:rPr>
          <w:fldChar w:fldCharType="separate"/>
        </w:r>
        <w:r w:rsidR="002367EF">
          <w:rPr>
            <w:noProof/>
            <w:webHidden/>
          </w:rPr>
          <w:t>13</w:t>
        </w:r>
        <w:r w:rsidR="002367EF">
          <w:rPr>
            <w:noProof/>
            <w:webHidden/>
          </w:rPr>
          <w:fldChar w:fldCharType="end"/>
        </w:r>
      </w:hyperlink>
    </w:p>
    <w:p w14:paraId="4176F39A" w14:textId="0500833B" w:rsidR="002367EF" w:rsidRDefault="00463140">
      <w:pPr>
        <w:pStyle w:val="TOC2"/>
        <w:rPr>
          <w:rFonts w:asciiTheme="minorHAnsi" w:eastAsiaTheme="minorEastAsia" w:hAnsiTheme="minorHAnsi" w:cstheme="minorBidi"/>
          <w:noProof/>
          <w:sz w:val="22"/>
          <w:szCs w:val="22"/>
          <w:lang w:val="en-US"/>
        </w:rPr>
      </w:pPr>
      <w:hyperlink w:anchor="_Toc81831052" w:history="1">
        <w:r w:rsidR="002367EF" w:rsidRPr="00914E8E">
          <w:rPr>
            <w:rStyle w:val="Hyperlink"/>
            <w:noProof/>
          </w:rPr>
          <w:t>ARTICLE II.13 – AVENANTS À LA CONVENTION</w:t>
        </w:r>
        <w:r w:rsidR="002367EF">
          <w:rPr>
            <w:noProof/>
            <w:webHidden/>
          </w:rPr>
          <w:tab/>
        </w:r>
        <w:r w:rsidR="002367EF">
          <w:rPr>
            <w:noProof/>
            <w:webHidden/>
          </w:rPr>
          <w:fldChar w:fldCharType="begin"/>
        </w:r>
        <w:r w:rsidR="002367EF">
          <w:rPr>
            <w:noProof/>
            <w:webHidden/>
          </w:rPr>
          <w:instrText xml:space="preserve"> PAGEREF _Toc81831052 \h </w:instrText>
        </w:r>
        <w:r w:rsidR="002367EF">
          <w:rPr>
            <w:noProof/>
            <w:webHidden/>
          </w:rPr>
        </w:r>
        <w:r w:rsidR="002367EF">
          <w:rPr>
            <w:noProof/>
            <w:webHidden/>
          </w:rPr>
          <w:fldChar w:fldCharType="separate"/>
        </w:r>
        <w:r w:rsidR="002367EF">
          <w:rPr>
            <w:noProof/>
            <w:webHidden/>
          </w:rPr>
          <w:t>13</w:t>
        </w:r>
        <w:r w:rsidR="002367EF">
          <w:rPr>
            <w:noProof/>
            <w:webHidden/>
          </w:rPr>
          <w:fldChar w:fldCharType="end"/>
        </w:r>
      </w:hyperlink>
    </w:p>
    <w:p w14:paraId="0B6C2F2B" w14:textId="3269913E" w:rsidR="002367EF" w:rsidRDefault="00463140">
      <w:pPr>
        <w:pStyle w:val="TOC2"/>
        <w:rPr>
          <w:rFonts w:asciiTheme="minorHAnsi" w:eastAsiaTheme="minorEastAsia" w:hAnsiTheme="minorHAnsi" w:cstheme="minorBidi"/>
          <w:noProof/>
          <w:sz w:val="22"/>
          <w:szCs w:val="22"/>
          <w:lang w:val="en-US"/>
        </w:rPr>
      </w:pPr>
      <w:hyperlink w:anchor="_Toc81831053" w:history="1">
        <w:r w:rsidR="002367EF" w:rsidRPr="00914E8E">
          <w:rPr>
            <w:rStyle w:val="Hyperlink"/>
            <w:noProof/>
          </w:rPr>
          <w:t>ARTICLE II.14 – CESSION DE CRÉANCES À DES TIERS</w:t>
        </w:r>
        <w:r w:rsidR="002367EF">
          <w:rPr>
            <w:noProof/>
            <w:webHidden/>
          </w:rPr>
          <w:tab/>
        </w:r>
        <w:r w:rsidR="002367EF">
          <w:rPr>
            <w:noProof/>
            <w:webHidden/>
          </w:rPr>
          <w:fldChar w:fldCharType="begin"/>
        </w:r>
        <w:r w:rsidR="002367EF">
          <w:rPr>
            <w:noProof/>
            <w:webHidden/>
          </w:rPr>
          <w:instrText xml:space="preserve"> PAGEREF _Toc81831053 \h </w:instrText>
        </w:r>
        <w:r w:rsidR="002367EF">
          <w:rPr>
            <w:noProof/>
            <w:webHidden/>
          </w:rPr>
        </w:r>
        <w:r w:rsidR="002367EF">
          <w:rPr>
            <w:noProof/>
            <w:webHidden/>
          </w:rPr>
          <w:fldChar w:fldCharType="separate"/>
        </w:r>
        <w:r w:rsidR="002367EF">
          <w:rPr>
            <w:noProof/>
            <w:webHidden/>
          </w:rPr>
          <w:t>14</w:t>
        </w:r>
        <w:r w:rsidR="002367EF">
          <w:rPr>
            <w:noProof/>
            <w:webHidden/>
          </w:rPr>
          <w:fldChar w:fldCharType="end"/>
        </w:r>
      </w:hyperlink>
    </w:p>
    <w:p w14:paraId="505A3E64" w14:textId="365ADAFA" w:rsidR="002367EF" w:rsidRDefault="00463140">
      <w:pPr>
        <w:pStyle w:val="TOC2"/>
        <w:rPr>
          <w:rFonts w:asciiTheme="minorHAnsi" w:eastAsiaTheme="minorEastAsia" w:hAnsiTheme="minorHAnsi" w:cstheme="minorBidi"/>
          <w:noProof/>
          <w:sz w:val="22"/>
          <w:szCs w:val="22"/>
          <w:lang w:val="en-US"/>
        </w:rPr>
      </w:pPr>
      <w:hyperlink w:anchor="_Toc81831054" w:history="1">
        <w:r w:rsidR="002367EF" w:rsidRPr="00914E8E">
          <w:rPr>
            <w:rStyle w:val="Hyperlink"/>
            <w:noProof/>
          </w:rPr>
          <w:t>ARTICLE II.15 – FORCE MAJEURE</w:t>
        </w:r>
        <w:r w:rsidR="002367EF">
          <w:rPr>
            <w:noProof/>
            <w:webHidden/>
          </w:rPr>
          <w:tab/>
        </w:r>
        <w:r w:rsidR="002367EF">
          <w:rPr>
            <w:noProof/>
            <w:webHidden/>
          </w:rPr>
          <w:fldChar w:fldCharType="begin"/>
        </w:r>
        <w:r w:rsidR="002367EF">
          <w:rPr>
            <w:noProof/>
            <w:webHidden/>
          </w:rPr>
          <w:instrText xml:space="preserve"> PAGEREF _Toc81831054 \h </w:instrText>
        </w:r>
        <w:r w:rsidR="002367EF">
          <w:rPr>
            <w:noProof/>
            <w:webHidden/>
          </w:rPr>
        </w:r>
        <w:r w:rsidR="002367EF">
          <w:rPr>
            <w:noProof/>
            <w:webHidden/>
          </w:rPr>
          <w:fldChar w:fldCharType="separate"/>
        </w:r>
        <w:r w:rsidR="002367EF">
          <w:rPr>
            <w:noProof/>
            <w:webHidden/>
          </w:rPr>
          <w:t>14</w:t>
        </w:r>
        <w:r w:rsidR="002367EF">
          <w:rPr>
            <w:noProof/>
            <w:webHidden/>
          </w:rPr>
          <w:fldChar w:fldCharType="end"/>
        </w:r>
      </w:hyperlink>
    </w:p>
    <w:p w14:paraId="31185DE4" w14:textId="1F502190" w:rsidR="002367EF" w:rsidRDefault="00463140">
      <w:pPr>
        <w:pStyle w:val="TOC2"/>
        <w:rPr>
          <w:rFonts w:asciiTheme="minorHAnsi" w:eastAsiaTheme="minorEastAsia" w:hAnsiTheme="minorHAnsi" w:cstheme="minorBidi"/>
          <w:noProof/>
          <w:sz w:val="22"/>
          <w:szCs w:val="22"/>
          <w:lang w:val="en-US"/>
        </w:rPr>
      </w:pPr>
      <w:hyperlink w:anchor="_Toc81831055" w:history="1">
        <w:r w:rsidR="002367EF" w:rsidRPr="00914E8E">
          <w:rPr>
            <w:rStyle w:val="Hyperlink"/>
            <w:noProof/>
          </w:rPr>
          <w:t>ARTICLE II.16 – SUSPENSION DE L’EXÉCUTION DE L’ACTION</w:t>
        </w:r>
        <w:r w:rsidR="002367EF">
          <w:rPr>
            <w:noProof/>
            <w:webHidden/>
          </w:rPr>
          <w:tab/>
        </w:r>
        <w:r w:rsidR="002367EF">
          <w:rPr>
            <w:noProof/>
            <w:webHidden/>
          </w:rPr>
          <w:fldChar w:fldCharType="begin"/>
        </w:r>
        <w:r w:rsidR="002367EF">
          <w:rPr>
            <w:noProof/>
            <w:webHidden/>
          </w:rPr>
          <w:instrText xml:space="preserve"> PAGEREF _Toc81831055 \h </w:instrText>
        </w:r>
        <w:r w:rsidR="002367EF">
          <w:rPr>
            <w:noProof/>
            <w:webHidden/>
          </w:rPr>
        </w:r>
        <w:r w:rsidR="002367EF">
          <w:rPr>
            <w:noProof/>
            <w:webHidden/>
          </w:rPr>
          <w:fldChar w:fldCharType="separate"/>
        </w:r>
        <w:r w:rsidR="002367EF">
          <w:rPr>
            <w:noProof/>
            <w:webHidden/>
          </w:rPr>
          <w:t>14</w:t>
        </w:r>
        <w:r w:rsidR="002367EF">
          <w:rPr>
            <w:noProof/>
            <w:webHidden/>
          </w:rPr>
          <w:fldChar w:fldCharType="end"/>
        </w:r>
      </w:hyperlink>
    </w:p>
    <w:p w14:paraId="0ED6CC52" w14:textId="47AC76AF" w:rsidR="002367EF" w:rsidRDefault="00463140">
      <w:pPr>
        <w:pStyle w:val="TOC3"/>
        <w:tabs>
          <w:tab w:val="left" w:pos="2880"/>
        </w:tabs>
        <w:rPr>
          <w:rFonts w:asciiTheme="minorHAnsi" w:eastAsiaTheme="minorEastAsia" w:hAnsiTheme="minorHAnsi" w:cstheme="minorBidi"/>
          <w:noProof/>
          <w:sz w:val="22"/>
          <w:szCs w:val="22"/>
          <w:lang w:val="en-US"/>
        </w:rPr>
      </w:pPr>
      <w:hyperlink w:anchor="_Toc81831056" w:history="1">
        <w:r w:rsidR="002367EF" w:rsidRPr="00914E8E">
          <w:rPr>
            <w:rStyle w:val="Hyperlink"/>
            <w:noProof/>
          </w:rPr>
          <w:t>II.16.1</w:t>
        </w:r>
        <w:r w:rsidR="002367EF">
          <w:rPr>
            <w:rFonts w:asciiTheme="minorHAnsi" w:eastAsiaTheme="minorEastAsia" w:hAnsiTheme="minorHAnsi" w:cstheme="minorBidi"/>
            <w:noProof/>
            <w:sz w:val="22"/>
            <w:szCs w:val="22"/>
            <w:lang w:val="en-US"/>
          </w:rPr>
          <w:tab/>
        </w:r>
        <w:r w:rsidR="002367EF" w:rsidRPr="00914E8E">
          <w:rPr>
            <w:rStyle w:val="Hyperlink"/>
            <w:noProof/>
          </w:rPr>
          <w:t>Suspension de l’exécution par le bénéficiaire</w:t>
        </w:r>
        <w:r w:rsidR="002367EF">
          <w:rPr>
            <w:noProof/>
            <w:webHidden/>
          </w:rPr>
          <w:tab/>
        </w:r>
        <w:r w:rsidR="002367EF">
          <w:rPr>
            <w:noProof/>
            <w:webHidden/>
          </w:rPr>
          <w:fldChar w:fldCharType="begin"/>
        </w:r>
        <w:r w:rsidR="002367EF">
          <w:rPr>
            <w:noProof/>
            <w:webHidden/>
          </w:rPr>
          <w:instrText xml:space="preserve"> PAGEREF _Toc81831056 \h </w:instrText>
        </w:r>
        <w:r w:rsidR="002367EF">
          <w:rPr>
            <w:noProof/>
            <w:webHidden/>
          </w:rPr>
        </w:r>
        <w:r w:rsidR="002367EF">
          <w:rPr>
            <w:noProof/>
            <w:webHidden/>
          </w:rPr>
          <w:fldChar w:fldCharType="separate"/>
        </w:r>
        <w:r w:rsidR="002367EF">
          <w:rPr>
            <w:noProof/>
            <w:webHidden/>
          </w:rPr>
          <w:t>14</w:t>
        </w:r>
        <w:r w:rsidR="002367EF">
          <w:rPr>
            <w:noProof/>
            <w:webHidden/>
          </w:rPr>
          <w:fldChar w:fldCharType="end"/>
        </w:r>
      </w:hyperlink>
    </w:p>
    <w:p w14:paraId="61692D1E" w14:textId="5F7E9258" w:rsidR="002367EF" w:rsidRDefault="00463140">
      <w:pPr>
        <w:pStyle w:val="TOC3"/>
        <w:tabs>
          <w:tab w:val="left" w:pos="2880"/>
        </w:tabs>
        <w:rPr>
          <w:rFonts w:asciiTheme="minorHAnsi" w:eastAsiaTheme="minorEastAsia" w:hAnsiTheme="minorHAnsi" w:cstheme="minorBidi"/>
          <w:noProof/>
          <w:sz w:val="22"/>
          <w:szCs w:val="22"/>
          <w:lang w:val="en-US"/>
        </w:rPr>
      </w:pPr>
      <w:hyperlink w:anchor="_Toc81831057" w:history="1">
        <w:r w:rsidR="002367EF" w:rsidRPr="00914E8E">
          <w:rPr>
            <w:rStyle w:val="Hyperlink"/>
            <w:noProof/>
          </w:rPr>
          <w:t>II.16.2</w:t>
        </w:r>
        <w:r w:rsidR="002367EF">
          <w:rPr>
            <w:rFonts w:asciiTheme="minorHAnsi" w:eastAsiaTheme="minorEastAsia" w:hAnsiTheme="minorHAnsi" w:cstheme="minorBidi"/>
            <w:noProof/>
            <w:sz w:val="22"/>
            <w:szCs w:val="22"/>
            <w:lang w:val="en-US"/>
          </w:rPr>
          <w:tab/>
        </w:r>
        <w:r w:rsidR="002367EF" w:rsidRPr="00914E8E">
          <w:rPr>
            <w:rStyle w:val="Hyperlink"/>
            <w:noProof/>
          </w:rPr>
          <w:t>Suspension de l’exécution par la Commission</w:t>
        </w:r>
        <w:r w:rsidR="002367EF">
          <w:rPr>
            <w:noProof/>
            <w:webHidden/>
          </w:rPr>
          <w:tab/>
        </w:r>
        <w:r w:rsidR="002367EF">
          <w:rPr>
            <w:noProof/>
            <w:webHidden/>
          </w:rPr>
          <w:fldChar w:fldCharType="begin"/>
        </w:r>
        <w:r w:rsidR="002367EF">
          <w:rPr>
            <w:noProof/>
            <w:webHidden/>
          </w:rPr>
          <w:instrText xml:space="preserve"> PAGEREF _Toc81831057 \h </w:instrText>
        </w:r>
        <w:r w:rsidR="002367EF">
          <w:rPr>
            <w:noProof/>
            <w:webHidden/>
          </w:rPr>
        </w:r>
        <w:r w:rsidR="002367EF">
          <w:rPr>
            <w:noProof/>
            <w:webHidden/>
          </w:rPr>
          <w:fldChar w:fldCharType="separate"/>
        </w:r>
        <w:r w:rsidR="002367EF">
          <w:rPr>
            <w:noProof/>
            <w:webHidden/>
          </w:rPr>
          <w:t>15</w:t>
        </w:r>
        <w:r w:rsidR="002367EF">
          <w:rPr>
            <w:noProof/>
            <w:webHidden/>
          </w:rPr>
          <w:fldChar w:fldCharType="end"/>
        </w:r>
      </w:hyperlink>
    </w:p>
    <w:p w14:paraId="1AF4D51B" w14:textId="38198ADC" w:rsidR="002367EF" w:rsidRDefault="00463140">
      <w:pPr>
        <w:pStyle w:val="TOC3"/>
        <w:rPr>
          <w:rFonts w:asciiTheme="minorHAnsi" w:eastAsiaTheme="minorEastAsia" w:hAnsiTheme="minorHAnsi" w:cstheme="minorBidi"/>
          <w:noProof/>
          <w:sz w:val="22"/>
          <w:szCs w:val="22"/>
          <w:lang w:val="en-US"/>
        </w:rPr>
      </w:pPr>
      <w:hyperlink w:anchor="_Toc81831058" w:history="1">
        <w:r w:rsidR="002367EF" w:rsidRPr="00914E8E">
          <w:rPr>
            <w:rStyle w:val="Hyperlink"/>
            <w:noProof/>
          </w:rPr>
          <w:t>II.16.3 Effets de la suspension</w:t>
        </w:r>
        <w:r w:rsidR="002367EF">
          <w:rPr>
            <w:noProof/>
            <w:webHidden/>
          </w:rPr>
          <w:tab/>
        </w:r>
        <w:r w:rsidR="002367EF">
          <w:rPr>
            <w:noProof/>
            <w:webHidden/>
          </w:rPr>
          <w:fldChar w:fldCharType="begin"/>
        </w:r>
        <w:r w:rsidR="002367EF">
          <w:rPr>
            <w:noProof/>
            <w:webHidden/>
          </w:rPr>
          <w:instrText xml:space="preserve"> PAGEREF _Toc81831058 \h </w:instrText>
        </w:r>
        <w:r w:rsidR="002367EF">
          <w:rPr>
            <w:noProof/>
            <w:webHidden/>
          </w:rPr>
        </w:r>
        <w:r w:rsidR="002367EF">
          <w:rPr>
            <w:noProof/>
            <w:webHidden/>
          </w:rPr>
          <w:fldChar w:fldCharType="separate"/>
        </w:r>
        <w:r w:rsidR="002367EF">
          <w:rPr>
            <w:noProof/>
            <w:webHidden/>
          </w:rPr>
          <w:t>16</w:t>
        </w:r>
        <w:r w:rsidR="002367EF">
          <w:rPr>
            <w:noProof/>
            <w:webHidden/>
          </w:rPr>
          <w:fldChar w:fldCharType="end"/>
        </w:r>
      </w:hyperlink>
    </w:p>
    <w:p w14:paraId="3DA0344A" w14:textId="33521768" w:rsidR="002367EF" w:rsidRDefault="00463140">
      <w:pPr>
        <w:pStyle w:val="TOC2"/>
        <w:rPr>
          <w:rFonts w:asciiTheme="minorHAnsi" w:eastAsiaTheme="minorEastAsia" w:hAnsiTheme="minorHAnsi" w:cstheme="minorBidi"/>
          <w:noProof/>
          <w:sz w:val="22"/>
          <w:szCs w:val="22"/>
          <w:lang w:val="en-US"/>
        </w:rPr>
      </w:pPr>
      <w:hyperlink w:anchor="_Toc81831059" w:history="1">
        <w:r w:rsidR="002367EF" w:rsidRPr="00914E8E">
          <w:rPr>
            <w:rStyle w:val="Hyperlink"/>
            <w:noProof/>
          </w:rPr>
          <w:t>ARTICLE II.17 – RÉSILIATION DE LA CONVENTION</w:t>
        </w:r>
        <w:r w:rsidR="002367EF">
          <w:rPr>
            <w:noProof/>
            <w:webHidden/>
          </w:rPr>
          <w:tab/>
        </w:r>
        <w:r w:rsidR="002367EF">
          <w:rPr>
            <w:noProof/>
            <w:webHidden/>
          </w:rPr>
          <w:fldChar w:fldCharType="begin"/>
        </w:r>
        <w:r w:rsidR="002367EF">
          <w:rPr>
            <w:noProof/>
            <w:webHidden/>
          </w:rPr>
          <w:instrText xml:space="preserve"> PAGEREF _Toc81831059 \h </w:instrText>
        </w:r>
        <w:r w:rsidR="002367EF">
          <w:rPr>
            <w:noProof/>
            <w:webHidden/>
          </w:rPr>
        </w:r>
        <w:r w:rsidR="002367EF">
          <w:rPr>
            <w:noProof/>
            <w:webHidden/>
          </w:rPr>
          <w:fldChar w:fldCharType="separate"/>
        </w:r>
        <w:r w:rsidR="002367EF">
          <w:rPr>
            <w:noProof/>
            <w:webHidden/>
          </w:rPr>
          <w:t>16</w:t>
        </w:r>
        <w:r w:rsidR="002367EF">
          <w:rPr>
            <w:noProof/>
            <w:webHidden/>
          </w:rPr>
          <w:fldChar w:fldCharType="end"/>
        </w:r>
      </w:hyperlink>
    </w:p>
    <w:p w14:paraId="4602DFA9" w14:textId="010EAFAD" w:rsidR="002367EF" w:rsidRDefault="00463140">
      <w:pPr>
        <w:pStyle w:val="TOC3"/>
        <w:tabs>
          <w:tab w:val="left" w:pos="2880"/>
        </w:tabs>
        <w:rPr>
          <w:rFonts w:asciiTheme="minorHAnsi" w:eastAsiaTheme="minorEastAsia" w:hAnsiTheme="minorHAnsi" w:cstheme="minorBidi"/>
          <w:noProof/>
          <w:sz w:val="22"/>
          <w:szCs w:val="22"/>
          <w:lang w:val="en-US"/>
        </w:rPr>
      </w:pPr>
      <w:hyperlink w:anchor="_Toc81831060" w:history="1">
        <w:r w:rsidR="002367EF" w:rsidRPr="00914E8E">
          <w:rPr>
            <w:rStyle w:val="Hyperlink"/>
            <w:noProof/>
          </w:rPr>
          <w:t>II.17.1</w:t>
        </w:r>
        <w:r w:rsidR="002367EF">
          <w:rPr>
            <w:rFonts w:asciiTheme="minorHAnsi" w:eastAsiaTheme="minorEastAsia" w:hAnsiTheme="minorHAnsi" w:cstheme="minorBidi"/>
            <w:noProof/>
            <w:sz w:val="22"/>
            <w:szCs w:val="22"/>
            <w:lang w:val="en-US"/>
          </w:rPr>
          <w:tab/>
        </w:r>
        <w:r w:rsidR="002367EF" w:rsidRPr="00914E8E">
          <w:rPr>
            <w:rStyle w:val="Hyperlink"/>
            <w:noProof/>
          </w:rPr>
          <w:t>Résiliation de la convention par le bénéficiaire</w:t>
        </w:r>
        <w:r w:rsidR="002367EF">
          <w:rPr>
            <w:noProof/>
            <w:webHidden/>
          </w:rPr>
          <w:tab/>
        </w:r>
        <w:r w:rsidR="002367EF">
          <w:rPr>
            <w:noProof/>
            <w:webHidden/>
          </w:rPr>
          <w:fldChar w:fldCharType="begin"/>
        </w:r>
        <w:r w:rsidR="002367EF">
          <w:rPr>
            <w:noProof/>
            <w:webHidden/>
          </w:rPr>
          <w:instrText xml:space="preserve"> PAGEREF _Toc81831060 \h </w:instrText>
        </w:r>
        <w:r w:rsidR="002367EF">
          <w:rPr>
            <w:noProof/>
            <w:webHidden/>
          </w:rPr>
        </w:r>
        <w:r w:rsidR="002367EF">
          <w:rPr>
            <w:noProof/>
            <w:webHidden/>
          </w:rPr>
          <w:fldChar w:fldCharType="separate"/>
        </w:r>
        <w:r w:rsidR="002367EF">
          <w:rPr>
            <w:noProof/>
            <w:webHidden/>
          </w:rPr>
          <w:t>16</w:t>
        </w:r>
        <w:r w:rsidR="002367EF">
          <w:rPr>
            <w:noProof/>
            <w:webHidden/>
          </w:rPr>
          <w:fldChar w:fldCharType="end"/>
        </w:r>
      </w:hyperlink>
    </w:p>
    <w:p w14:paraId="774B3BFF" w14:textId="4F740EE8" w:rsidR="002367EF" w:rsidRDefault="00463140">
      <w:pPr>
        <w:pStyle w:val="TOC3"/>
        <w:tabs>
          <w:tab w:val="left" w:pos="2880"/>
        </w:tabs>
        <w:rPr>
          <w:rFonts w:asciiTheme="minorHAnsi" w:eastAsiaTheme="minorEastAsia" w:hAnsiTheme="minorHAnsi" w:cstheme="minorBidi"/>
          <w:noProof/>
          <w:sz w:val="22"/>
          <w:szCs w:val="22"/>
          <w:lang w:val="en-US"/>
        </w:rPr>
      </w:pPr>
      <w:hyperlink w:anchor="_Toc81831061" w:history="1">
        <w:r w:rsidR="002367EF" w:rsidRPr="00914E8E">
          <w:rPr>
            <w:rStyle w:val="Hyperlink"/>
            <w:noProof/>
          </w:rPr>
          <w:t>II.17.2</w:t>
        </w:r>
        <w:r w:rsidR="002367EF">
          <w:rPr>
            <w:rFonts w:asciiTheme="minorHAnsi" w:eastAsiaTheme="minorEastAsia" w:hAnsiTheme="minorHAnsi" w:cstheme="minorBidi"/>
            <w:noProof/>
            <w:sz w:val="22"/>
            <w:szCs w:val="22"/>
            <w:lang w:val="en-US"/>
          </w:rPr>
          <w:tab/>
        </w:r>
        <w:r w:rsidR="002367EF" w:rsidRPr="00914E8E">
          <w:rPr>
            <w:rStyle w:val="Hyperlink"/>
            <w:noProof/>
          </w:rPr>
          <w:t>Résiliation de la convention par la Commission</w:t>
        </w:r>
        <w:r w:rsidR="002367EF">
          <w:rPr>
            <w:noProof/>
            <w:webHidden/>
          </w:rPr>
          <w:tab/>
        </w:r>
        <w:r w:rsidR="002367EF">
          <w:rPr>
            <w:noProof/>
            <w:webHidden/>
          </w:rPr>
          <w:fldChar w:fldCharType="begin"/>
        </w:r>
        <w:r w:rsidR="002367EF">
          <w:rPr>
            <w:noProof/>
            <w:webHidden/>
          </w:rPr>
          <w:instrText xml:space="preserve"> PAGEREF _Toc81831061 \h </w:instrText>
        </w:r>
        <w:r w:rsidR="002367EF">
          <w:rPr>
            <w:noProof/>
            <w:webHidden/>
          </w:rPr>
        </w:r>
        <w:r w:rsidR="002367EF">
          <w:rPr>
            <w:noProof/>
            <w:webHidden/>
          </w:rPr>
          <w:fldChar w:fldCharType="separate"/>
        </w:r>
        <w:r w:rsidR="002367EF">
          <w:rPr>
            <w:noProof/>
            <w:webHidden/>
          </w:rPr>
          <w:t>17</w:t>
        </w:r>
        <w:r w:rsidR="002367EF">
          <w:rPr>
            <w:noProof/>
            <w:webHidden/>
          </w:rPr>
          <w:fldChar w:fldCharType="end"/>
        </w:r>
      </w:hyperlink>
    </w:p>
    <w:p w14:paraId="1C498B2B" w14:textId="189188B9" w:rsidR="002367EF" w:rsidRDefault="00463140">
      <w:pPr>
        <w:pStyle w:val="TOC3"/>
        <w:tabs>
          <w:tab w:val="left" w:pos="2880"/>
        </w:tabs>
        <w:rPr>
          <w:rFonts w:asciiTheme="minorHAnsi" w:eastAsiaTheme="minorEastAsia" w:hAnsiTheme="minorHAnsi" w:cstheme="minorBidi"/>
          <w:noProof/>
          <w:sz w:val="22"/>
          <w:szCs w:val="22"/>
          <w:lang w:val="en-US"/>
        </w:rPr>
      </w:pPr>
      <w:hyperlink w:anchor="_Toc81831062" w:history="1">
        <w:r w:rsidR="002367EF" w:rsidRPr="00914E8E">
          <w:rPr>
            <w:rStyle w:val="Hyperlink"/>
            <w:noProof/>
          </w:rPr>
          <w:t>II.17.3</w:t>
        </w:r>
        <w:r w:rsidR="002367EF">
          <w:rPr>
            <w:rFonts w:asciiTheme="minorHAnsi" w:eastAsiaTheme="minorEastAsia" w:hAnsiTheme="minorHAnsi" w:cstheme="minorBidi"/>
            <w:noProof/>
            <w:sz w:val="22"/>
            <w:szCs w:val="22"/>
            <w:lang w:val="en-US"/>
          </w:rPr>
          <w:tab/>
        </w:r>
        <w:r w:rsidR="002367EF" w:rsidRPr="00914E8E">
          <w:rPr>
            <w:rStyle w:val="Hyperlink"/>
            <w:noProof/>
          </w:rPr>
          <w:t>Effets de la résiliation</w:t>
        </w:r>
        <w:r w:rsidR="002367EF">
          <w:rPr>
            <w:noProof/>
            <w:webHidden/>
          </w:rPr>
          <w:tab/>
        </w:r>
        <w:r w:rsidR="002367EF">
          <w:rPr>
            <w:noProof/>
            <w:webHidden/>
          </w:rPr>
          <w:fldChar w:fldCharType="begin"/>
        </w:r>
        <w:r w:rsidR="002367EF">
          <w:rPr>
            <w:noProof/>
            <w:webHidden/>
          </w:rPr>
          <w:instrText xml:space="preserve"> PAGEREF _Toc81831062 \h </w:instrText>
        </w:r>
        <w:r w:rsidR="002367EF">
          <w:rPr>
            <w:noProof/>
            <w:webHidden/>
          </w:rPr>
        </w:r>
        <w:r w:rsidR="002367EF">
          <w:rPr>
            <w:noProof/>
            <w:webHidden/>
          </w:rPr>
          <w:fldChar w:fldCharType="separate"/>
        </w:r>
        <w:r w:rsidR="002367EF">
          <w:rPr>
            <w:noProof/>
            <w:webHidden/>
          </w:rPr>
          <w:t>18</w:t>
        </w:r>
        <w:r w:rsidR="002367EF">
          <w:rPr>
            <w:noProof/>
            <w:webHidden/>
          </w:rPr>
          <w:fldChar w:fldCharType="end"/>
        </w:r>
      </w:hyperlink>
    </w:p>
    <w:p w14:paraId="4C6CA8E4" w14:textId="7E7E63AE" w:rsidR="002367EF" w:rsidRDefault="00463140">
      <w:pPr>
        <w:pStyle w:val="TOC2"/>
        <w:rPr>
          <w:rFonts w:asciiTheme="minorHAnsi" w:eastAsiaTheme="minorEastAsia" w:hAnsiTheme="minorHAnsi" w:cstheme="minorBidi"/>
          <w:noProof/>
          <w:sz w:val="22"/>
          <w:szCs w:val="22"/>
          <w:lang w:val="en-US"/>
        </w:rPr>
      </w:pPr>
      <w:hyperlink w:anchor="_Toc81831063" w:history="1">
        <w:r w:rsidR="002367EF" w:rsidRPr="00914E8E">
          <w:rPr>
            <w:rStyle w:val="Hyperlink"/>
            <w:noProof/>
          </w:rPr>
          <w:t>ARTICLE II.18 – LOI APPLICABLE, RÈGLEMENT DES LITIGES ET TITRES EXÉCUTOIRES</w:t>
        </w:r>
        <w:r w:rsidR="002367EF">
          <w:rPr>
            <w:noProof/>
            <w:webHidden/>
          </w:rPr>
          <w:tab/>
        </w:r>
        <w:r w:rsidR="002367EF">
          <w:rPr>
            <w:noProof/>
            <w:webHidden/>
          </w:rPr>
          <w:fldChar w:fldCharType="begin"/>
        </w:r>
        <w:r w:rsidR="002367EF">
          <w:rPr>
            <w:noProof/>
            <w:webHidden/>
          </w:rPr>
          <w:instrText xml:space="preserve"> PAGEREF _Toc81831063 \h </w:instrText>
        </w:r>
        <w:r w:rsidR="002367EF">
          <w:rPr>
            <w:noProof/>
            <w:webHidden/>
          </w:rPr>
        </w:r>
        <w:r w:rsidR="002367EF">
          <w:rPr>
            <w:noProof/>
            <w:webHidden/>
          </w:rPr>
          <w:fldChar w:fldCharType="separate"/>
        </w:r>
        <w:r w:rsidR="002367EF">
          <w:rPr>
            <w:noProof/>
            <w:webHidden/>
          </w:rPr>
          <w:t>19</w:t>
        </w:r>
        <w:r w:rsidR="002367EF">
          <w:rPr>
            <w:noProof/>
            <w:webHidden/>
          </w:rPr>
          <w:fldChar w:fldCharType="end"/>
        </w:r>
      </w:hyperlink>
    </w:p>
    <w:p w14:paraId="7F981C79" w14:textId="20132A15" w:rsidR="002367EF" w:rsidRDefault="00463140">
      <w:pPr>
        <w:pStyle w:val="TOC1"/>
        <w:rPr>
          <w:rFonts w:asciiTheme="minorHAnsi" w:eastAsiaTheme="minorEastAsia" w:hAnsiTheme="minorHAnsi" w:cstheme="minorBidi"/>
          <w:b w:val="0"/>
          <w:caps w:val="0"/>
          <w:noProof/>
          <w:sz w:val="22"/>
          <w:szCs w:val="22"/>
          <w:lang w:val="en-US"/>
        </w:rPr>
      </w:pPr>
      <w:hyperlink w:anchor="_Toc81831064" w:history="1">
        <w:r w:rsidR="002367EF" w:rsidRPr="00914E8E">
          <w:rPr>
            <w:rStyle w:val="Hyperlink"/>
            <w:noProof/>
          </w:rPr>
          <w:t>PARTIE B — DISPOSITIONS FINANCIÈRES</w:t>
        </w:r>
        <w:r w:rsidR="002367EF">
          <w:rPr>
            <w:noProof/>
            <w:webHidden/>
          </w:rPr>
          <w:tab/>
        </w:r>
        <w:r w:rsidR="002367EF">
          <w:rPr>
            <w:noProof/>
            <w:webHidden/>
          </w:rPr>
          <w:fldChar w:fldCharType="begin"/>
        </w:r>
        <w:r w:rsidR="002367EF">
          <w:rPr>
            <w:noProof/>
            <w:webHidden/>
          </w:rPr>
          <w:instrText xml:space="preserve"> PAGEREF _Toc81831064 \h </w:instrText>
        </w:r>
        <w:r w:rsidR="002367EF">
          <w:rPr>
            <w:noProof/>
            <w:webHidden/>
          </w:rPr>
        </w:r>
        <w:r w:rsidR="002367EF">
          <w:rPr>
            <w:noProof/>
            <w:webHidden/>
          </w:rPr>
          <w:fldChar w:fldCharType="separate"/>
        </w:r>
        <w:r w:rsidR="002367EF">
          <w:rPr>
            <w:noProof/>
            <w:webHidden/>
          </w:rPr>
          <w:t>20</w:t>
        </w:r>
        <w:r w:rsidR="002367EF">
          <w:rPr>
            <w:noProof/>
            <w:webHidden/>
          </w:rPr>
          <w:fldChar w:fldCharType="end"/>
        </w:r>
      </w:hyperlink>
    </w:p>
    <w:p w14:paraId="09895282" w14:textId="4CF1C8B6" w:rsidR="002367EF" w:rsidRDefault="00463140">
      <w:pPr>
        <w:pStyle w:val="TOC2"/>
        <w:rPr>
          <w:rFonts w:asciiTheme="minorHAnsi" w:eastAsiaTheme="minorEastAsia" w:hAnsiTheme="minorHAnsi" w:cstheme="minorBidi"/>
          <w:noProof/>
          <w:sz w:val="22"/>
          <w:szCs w:val="22"/>
          <w:lang w:val="en-US"/>
        </w:rPr>
      </w:pPr>
      <w:hyperlink w:anchor="_Toc81831065" w:history="1">
        <w:r w:rsidR="002367EF" w:rsidRPr="00914E8E">
          <w:rPr>
            <w:rStyle w:val="Hyperlink"/>
            <w:noProof/>
          </w:rPr>
          <w:t>ARTICLE II.19 – COÛTS ÉLIGIBLES</w:t>
        </w:r>
        <w:r w:rsidR="002367EF">
          <w:rPr>
            <w:noProof/>
            <w:webHidden/>
          </w:rPr>
          <w:tab/>
        </w:r>
        <w:r w:rsidR="002367EF">
          <w:rPr>
            <w:noProof/>
            <w:webHidden/>
          </w:rPr>
          <w:fldChar w:fldCharType="begin"/>
        </w:r>
        <w:r w:rsidR="002367EF">
          <w:rPr>
            <w:noProof/>
            <w:webHidden/>
          </w:rPr>
          <w:instrText xml:space="preserve"> PAGEREF _Toc81831065 \h </w:instrText>
        </w:r>
        <w:r w:rsidR="002367EF">
          <w:rPr>
            <w:noProof/>
            <w:webHidden/>
          </w:rPr>
        </w:r>
        <w:r w:rsidR="002367EF">
          <w:rPr>
            <w:noProof/>
            <w:webHidden/>
          </w:rPr>
          <w:fldChar w:fldCharType="separate"/>
        </w:r>
        <w:r w:rsidR="002367EF">
          <w:rPr>
            <w:noProof/>
            <w:webHidden/>
          </w:rPr>
          <w:t>20</w:t>
        </w:r>
        <w:r w:rsidR="002367EF">
          <w:rPr>
            <w:noProof/>
            <w:webHidden/>
          </w:rPr>
          <w:fldChar w:fldCharType="end"/>
        </w:r>
      </w:hyperlink>
    </w:p>
    <w:p w14:paraId="742F0523" w14:textId="296519AF" w:rsidR="002367EF" w:rsidRDefault="00463140">
      <w:pPr>
        <w:pStyle w:val="TOC3"/>
        <w:tabs>
          <w:tab w:val="left" w:pos="2880"/>
        </w:tabs>
        <w:rPr>
          <w:rFonts w:asciiTheme="minorHAnsi" w:eastAsiaTheme="minorEastAsia" w:hAnsiTheme="minorHAnsi" w:cstheme="minorBidi"/>
          <w:noProof/>
          <w:sz w:val="22"/>
          <w:szCs w:val="22"/>
          <w:lang w:val="en-US"/>
        </w:rPr>
      </w:pPr>
      <w:hyperlink w:anchor="_Toc81831066" w:history="1">
        <w:r w:rsidR="002367EF" w:rsidRPr="00914E8E">
          <w:rPr>
            <w:rStyle w:val="Hyperlink"/>
            <w:noProof/>
          </w:rPr>
          <w:t>II.19.1</w:t>
        </w:r>
        <w:r w:rsidR="002367EF">
          <w:rPr>
            <w:rFonts w:asciiTheme="minorHAnsi" w:eastAsiaTheme="minorEastAsia" w:hAnsiTheme="minorHAnsi" w:cstheme="minorBidi"/>
            <w:noProof/>
            <w:sz w:val="22"/>
            <w:szCs w:val="22"/>
            <w:lang w:val="en-US"/>
          </w:rPr>
          <w:tab/>
        </w:r>
        <w:r w:rsidR="002367EF" w:rsidRPr="00914E8E">
          <w:rPr>
            <w:rStyle w:val="Hyperlink"/>
            <w:noProof/>
          </w:rPr>
          <w:t>Conditions d’éligibilité des coûts</w:t>
        </w:r>
        <w:r w:rsidR="002367EF">
          <w:rPr>
            <w:noProof/>
            <w:webHidden/>
          </w:rPr>
          <w:tab/>
        </w:r>
        <w:r w:rsidR="002367EF">
          <w:rPr>
            <w:noProof/>
            <w:webHidden/>
          </w:rPr>
          <w:fldChar w:fldCharType="begin"/>
        </w:r>
        <w:r w:rsidR="002367EF">
          <w:rPr>
            <w:noProof/>
            <w:webHidden/>
          </w:rPr>
          <w:instrText xml:space="preserve"> PAGEREF _Toc81831066 \h </w:instrText>
        </w:r>
        <w:r w:rsidR="002367EF">
          <w:rPr>
            <w:noProof/>
            <w:webHidden/>
          </w:rPr>
        </w:r>
        <w:r w:rsidR="002367EF">
          <w:rPr>
            <w:noProof/>
            <w:webHidden/>
          </w:rPr>
          <w:fldChar w:fldCharType="separate"/>
        </w:r>
        <w:r w:rsidR="002367EF">
          <w:rPr>
            <w:noProof/>
            <w:webHidden/>
          </w:rPr>
          <w:t>20</w:t>
        </w:r>
        <w:r w:rsidR="002367EF">
          <w:rPr>
            <w:noProof/>
            <w:webHidden/>
          </w:rPr>
          <w:fldChar w:fldCharType="end"/>
        </w:r>
      </w:hyperlink>
    </w:p>
    <w:p w14:paraId="4AE50D98" w14:textId="2EFA46E9" w:rsidR="002367EF" w:rsidRDefault="00463140">
      <w:pPr>
        <w:pStyle w:val="TOC3"/>
        <w:tabs>
          <w:tab w:val="left" w:pos="2880"/>
        </w:tabs>
        <w:rPr>
          <w:rFonts w:asciiTheme="minorHAnsi" w:eastAsiaTheme="minorEastAsia" w:hAnsiTheme="minorHAnsi" w:cstheme="minorBidi"/>
          <w:noProof/>
          <w:sz w:val="22"/>
          <w:szCs w:val="22"/>
          <w:lang w:val="en-US"/>
        </w:rPr>
      </w:pPr>
      <w:hyperlink w:anchor="_Toc81831067" w:history="1">
        <w:r w:rsidR="002367EF" w:rsidRPr="00914E8E">
          <w:rPr>
            <w:rStyle w:val="Hyperlink"/>
            <w:noProof/>
          </w:rPr>
          <w:t>II.19.2</w:t>
        </w:r>
        <w:r w:rsidR="002367EF">
          <w:rPr>
            <w:rFonts w:asciiTheme="minorHAnsi" w:eastAsiaTheme="minorEastAsia" w:hAnsiTheme="minorHAnsi" w:cstheme="minorBidi"/>
            <w:noProof/>
            <w:sz w:val="22"/>
            <w:szCs w:val="22"/>
            <w:lang w:val="en-US"/>
          </w:rPr>
          <w:tab/>
        </w:r>
        <w:r w:rsidR="002367EF" w:rsidRPr="00914E8E">
          <w:rPr>
            <w:rStyle w:val="Hyperlink"/>
            <w:noProof/>
          </w:rPr>
          <w:t>Coûts directs éligibles</w:t>
        </w:r>
        <w:r w:rsidR="002367EF">
          <w:rPr>
            <w:noProof/>
            <w:webHidden/>
          </w:rPr>
          <w:tab/>
        </w:r>
        <w:r w:rsidR="002367EF">
          <w:rPr>
            <w:noProof/>
            <w:webHidden/>
          </w:rPr>
          <w:fldChar w:fldCharType="begin"/>
        </w:r>
        <w:r w:rsidR="002367EF">
          <w:rPr>
            <w:noProof/>
            <w:webHidden/>
          </w:rPr>
          <w:instrText xml:space="preserve"> PAGEREF _Toc81831067 \h </w:instrText>
        </w:r>
        <w:r w:rsidR="002367EF">
          <w:rPr>
            <w:noProof/>
            <w:webHidden/>
          </w:rPr>
        </w:r>
        <w:r w:rsidR="002367EF">
          <w:rPr>
            <w:noProof/>
            <w:webHidden/>
          </w:rPr>
          <w:fldChar w:fldCharType="separate"/>
        </w:r>
        <w:r w:rsidR="002367EF">
          <w:rPr>
            <w:noProof/>
            <w:webHidden/>
          </w:rPr>
          <w:t>20</w:t>
        </w:r>
        <w:r w:rsidR="002367EF">
          <w:rPr>
            <w:noProof/>
            <w:webHidden/>
          </w:rPr>
          <w:fldChar w:fldCharType="end"/>
        </w:r>
      </w:hyperlink>
    </w:p>
    <w:p w14:paraId="5047600D" w14:textId="3AA290CD" w:rsidR="002367EF" w:rsidRDefault="00463140">
      <w:pPr>
        <w:pStyle w:val="TOC3"/>
        <w:tabs>
          <w:tab w:val="left" w:pos="2880"/>
        </w:tabs>
        <w:rPr>
          <w:rFonts w:asciiTheme="minorHAnsi" w:eastAsiaTheme="minorEastAsia" w:hAnsiTheme="minorHAnsi" w:cstheme="minorBidi"/>
          <w:noProof/>
          <w:sz w:val="22"/>
          <w:szCs w:val="22"/>
          <w:lang w:val="en-US"/>
        </w:rPr>
      </w:pPr>
      <w:hyperlink w:anchor="_Toc81831068" w:history="1">
        <w:r w:rsidR="002367EF" w:rsidRPr="00914E8E">
          <w:rPr>
            <w:rStyle w:val="Hyperlink"/>
            <w:noProof/>
          </w:rPr>
          <w:t>II.19.3</w:t>
        </w:r>
        <w:r w:rsidR="002367EF">
          <w:rPr>
            <w:rFonts w:asciiTheme="minorHAnsi" w:eastAsiaTheme="minorEastAsia" w:hAnsiTheme="minorHAnsi" w:cstheme="minorBidi"/>
            <w:noProof/>
            <w:sz w:val="22"/>
            <w:szCs w:val="22"/>
            <w:lang w:val="en-US"/>
          </w:rPr>
          <w:tab/>
        </w:r>
        <w:r w:rsidR="002367EF" w:rsidRPr="00914E8E">
          <w:rPr>
            <w:rStyle w:val="Hyperlink"/>
            <w:noProof/>
          </w:rPr>
          <w:t>Coûts indirects éligibles</w:t>
        </w:r>
        <w:r w:rsidR="002367EF">
          <w:rPr>
            <w:noProof/>
            <w:webHidden/>
          </w:rPr>
          <w:tab/>
        </w:r>
        <w:r w:rsidR="002367EF">
          <w:rPr>
            <w:noProof/>
            <w:webHidden/>
          </w:rPr>
          <w:fldChar w:fldCharType="begin"/>
        </w:r>
        <w:r w:rsidR="002367EF">
          <w:rPr>
            <w:noProof/>
            <w:webHidden/>
          </w:rPr>
          <w:instrText xml:space="preserve"> PAGEREF _Toc81831068 \h </w:instrText>
        </w:r>
        <w:r w:rsidR="002367EF">
          <w:rPr>
            <w:noProof/>
            <w:webHidden/>
          </w:rPr>
        </w:r>
        <w:r w:rsidR="002367EF">
          <w:rPr>
            <w:noProof/>
            <w:webHidden/>
          </w:rPr>
          <w:fldChar w:fldCharType="separate"/>
        </w:r>
        <w:r w:rsidR="002367EF">
          <w:rPr>
            <w:noProof/>
            <w:webHidden/>
          </w:rPr>
          <w:t>22</w:t>
        </w:r>
        <w:r w:rsidR="002367EF">
          <w:rPr>
            <w:noProof/>
            <w:webHidden/>
          </w:rPr>
          <w:fldChar w:fldCharType="end"/>
        </w:r>
      </w:hyperlink>
    </w:p>
    <w:p w14:paraId="5D3CB8C6" w14:textId="2372D11D" w:rsidR="002367EF" w:rsidRDefault="00463140">
      <w:pPr>
        <w:pStyle w:val="TOC3"/>
        <w:tabs>
          <w:tab w:val="left" w:pos="2880"/>
        </w:tabs>
        <w:rPr>
          <w:rFonts w:asciiTheme="minorHAnsi" w:eastAsiaTheme="minorEastAsia" w:hAnsiTheme="minorHAnsi" w:cstheme="minorBidi"/>
          <w:noProof/>
          <w:sz w:val="22"/>
          <w:szCs w:val="22"/>
          <w:lang w:val="en-US"/>
        </w:rPr>
      </w:pPr>
      <w:hyperlink w:anchor="_Toc81831069" w:history="1">
        <w:r w:rsidR="002367EF" w:rsidRPr="00914E8E">
          <w:rPr>
            <w:rStyle w:val="Hyperlink"/>
            <w:noProof/>
          </w:rPr>
          <w:t>II.19.4</w:t>
        </w:r>
        <w:r w:rsidR="002367EF">
          <w:rPr>
            <w:rFonts w:asciiTheme="minorHAnsi" w:eastAsiaTheme="minorEastAsia" w:hAnsiTheme="minorHAnsi" w:cstheme="minorBidi"/>
            <w:noProof/>
            <w:sz w:val="22"/>
            <w:szCs w:val="22"/>
            <w:lang w:val="en-US"/>
          </w:rPr>
          <w:tab/>
        </w:r>
        <w:r w:rsidR="002367EF" w:rsidRPr="00914E8E">
          <w:rPr>
            <w:rStyle w:val="Hyperlink"/>
            <w:noProof/>
          </w:rPr>
          <w:t>Coûts non éligibles</w:t>
        </w:r>
        <w:r w:rsidR="002367EF">
          <w:rPr>
            <w:noProof/>
            <w:webHidden/>
          </w:rPr>
          <w:tab/>
        </w:r>
        <w:r w:rsidR="002367EF">
          <w:rPr>
            <w:noProof/>
            <w:webHidden/>
          </w:rPr>
          <w:fldChar w:fldCharType="begin"/>
        </w:r>
        <w:r w:rsidR="002367EF">
          <w:rPr>
            <w:noProof/>
            <w:webHidden/>
          </w:rPr>
          <w:instrText xml:space="preserve"> PAGEREF _Toc81831069 \h </w:instrText>
        </w:r>
        <w:r w:rsidR="002367EF">
          <w:rPr>
            <w:noProof/>
            <w:webHidden/>
          </w:rPr>
        </w:r>
        <w:r w:rsidR="002367EF">
          <w:rPr>
            <w:noProof/>
            <w:webHidden/>
          </w:rPr>
          <w:fldChar w:fldCharType="separate"/>
        </w:r>
        <w:r w:rsidR="002367EF">
          <w:rPr>
            <w:noProof/>
            <w:webHidden/>
          </w:rPr>
          <w:t>22</w:t>
        </w:r>
        <w:r w:rsidR="002367EF">
          <w:rPr>
            <w:noProof/>
            <w:webHidden/>
          </w:rPr>
          <w:fldChar w:fldCharType="end"/>
        </w:r>
      </w:hyperlink>
    </w:p>
    <w:p w14:paraId="7D896CE7" w14:textId="6B0C52BE" w:rsidR="002367EF" w:rsidRDefault="00463140">
      <w:pPr>
        <w:pStyle w:val="TOC2"/>
        <w:rPr>
          <w:rFonts w:asciiTheme="minorHAnsi" w:eastAsiaTheme="minorEastAsia" w:hAnsiTheme="minorHAnsi" w:cstheme="minorBidi"/>
          <w:noProof/>
          <w:sz w:val="22"/>
          <w:szCs w:val="22"/>
          <w:lang w:val="en-US"/>
        </w:rPr>
      </w:pPr>
      <w:hyperlink w:anchor="_Toc81831070" w:history="1">
        <w:r w:rsidR="002367EF" w:rsidRPr="00914E8E">
          <w:rPr>
            <w:rStyle w:val="Hyperlink"/>
            <w:noProof/>
          </w:rPr>
          <w:t>ARTICLE II.20 – CARACTÈRE IDENTIFIABLE ET VÉRIFIABLE DES MONTANTS DÉCLARÉS</w:t>
        </w:r>
        <w:r w:rsidR="002367EF">
          <w:rPr>
            <w:noProof/>
            <w:webHidden/>
          </w:rPr>
          <w:tab/>
        </w:r>
        <w:r w:rsidR="002367EF">
          <w:rPr>
            <w:noProof/>
            <w:webHidden/>
          </w:rPr>
          <w:fldChar w:fldCharType="begin"/>
        </w:r>
        <w:r w:rsidR="002367EF">
          <w:rPr>
            <w:noProof/>
            <w:webHidden/>
          </w:rPr>
          <w:instrText xml:space="preserve"> PAGEREF _Toc81831070 \h </w:instrText>
        </w:r>
        <w:r w:rsidR="002367EF">
          <w:rPr>
            <w:noProof/>
            <w:webHidden/>
          </w:rPr>
        </w:r>
        <w:r w:rsidR="002367EF">
          <w:rPr>
            <w:noProof/>
            <w:webHidden/>
          </w:rPr>
          <w:fldChar w:fldCharType="separate"/>
        </w:r>
        <w:r w:rsidR="002367EF">
          <w:rPr>
            <w:noProof/>
            <w:webHidden/>
          </w:rPr>
          <w:t>22</w:t>
        </w:r>
        <w:r w:rsidR="002367EF">
          <w:rPr>
            <w:noProof/>
            <w:webHidden/>
          </w:rPr>
          <w:fldChar w:fldCharType="end"/>
        </w:r>
      </w:hyperlink>
    </w:p>
    <w:p w14:paraId="1C23C61E" w14:textId="627C9186" w:rsidR="002367EF" w:rsidRDefault="00463140">
      <w:pPr>
        <w:pStyle w:val="TOC3"/>
        <w:rPr>
          <w:rFonts w:asciiTheme="minorHAnsi" w:eastAsiaTheme="minorEastAsia" w:hAnsiTheme="minorHAnsi" w:cstheme="minorBidi"/>
          <w:noProof/>
          <w:sz w:val="22"/>
          <w:szCs w:val="22"/>
          <w:lang w:val="en-US"/>
        </w:rPr>
      </w:pPr>
      <w:hyperlink w:anchor="_Toc81831071" w:history="1">
        <w:r w:rsidR="002367EF" w:rsidRPr="00914E8E">
          <w:rPr>
            <w:rStyle w:val="Hyperlink"/>
            <w:noProof/>
          </w:rPr>
          <w:t>II.20.1 Déclaration des coûts et contributions</w:t>
        </w:r>
        <w:r w:rsidR="002367EF">
          <w:rPr>
            <w:noProof/>
            <w:webHidden/>
          </w:rPr>
          <w:tab/>
        </w:r>
        <w:r w:rsidR="002367EF">
          <w:rPr>
            <w:noProof/>
            <w:webHidden/>
          </w:rPr>
          <w:fldChar w:fldCharType="begin"/>
        </w:r>
        <w:r w:rsidR="002367EF">
          <w:rPr>
            <w:noProof/>
            <w:webHidden/>
          </w:rPr>
          <w:instrText xml:space="preserve"> PAGEREF _Toc81831071 \h </w:instrText>
        </w:r>
        <w:r w:rsidR="002367EF">
          <w:rPr>
            <w:noProof/>
            <w:webHidden/>
          </w:rPr>
        </w:r>
        <w:r w:rsidR="002367EF">
          <w:rPr>
            <w:noProof/>
            <w:webHidden/>
          </w:rPr>
          <w:fldChar w:fldCharType="separate"/>
        </w:r>
        <w:r w:rsidR="002367EF">
          <w:rPr>
            <w:noProof/>
            <w:webHidden/>
          </w:rPr>
          <w:t>22</w:t>
        </w:r>
        <w:r w:rsidR="002367EF">
          <w:rPr>
            <w:noProof/>
            <w:webHidden/>
          </w:rPr>
          <w:fldChar w:fldCharType="end"/>
        </w:r>
      </w:hyperlink>
    </w:p>
    <w:p w14:paraId="23742B77" w14:textId="205D48E4" w:rsidR="002367EF" w:rsidRDefault="00463140">
      <w:pPr>
        <w:pStyle w:val="TOC3"/>
        <w:tabs>
          <w:tab w:val="left" w:pos="2880"/>
        </w:tabs>
        <w:rPr>
          <w:rFonts w:asciiTheme="minorHAnsi" w:eastAsiaTheme="minorEastAsia" w:hAnsiTheme="minorHAnsi" w:cstheme="minorBidi"/>
          <w:noProof/>
          <w:sz w:val="22"/>
          <w:szCs w:val="22"/>
          <w:lang w:val="en-US"/>
        </w:rPr>
      </w:pPr>
      <w:hyperlink w:anchor="_Toc81831072" w:history="1">
        <w:r w:rsidR="002367EF" w:rsidRPr="00914E8E">
          <w:rPr>
            <w:rStyle w:val="Hyperlink"/>
            <w:noProof/>
          </w:rPr>
          <w:t>II.20.2</w:t>
        </w:r>
        <w:r w:rsidR="002367EF">
          <w:rPr>
            <w:rFonts w:asciiTheme="minorHAnsi" w:eastAsiaTheme="minorEastAsia" w:hAnsiTheme="minorHAnsi" w:cstheme="minorBidi"/>
            <w:noProof/>
            <w:sz w:val="22"/>
            <w:szCs w:val="22"/>
            <w:lang w:val="en-US"/>
          </w:rPr>
          <w:tab/>
        </w:r>
        <w:r w:rsidR="002367EF" w:rsidRPr="00914E8E">
          <w:rPr>
            <w:rStyle w:val="Hyperlink"/>
            <w:noProof/>
          </w:rPr>
          <w:t>Registres et autres pièces justificatives des coûts et contributions déclarés</w:t>
        </w:r>
        <w:r w:rsidR="002367EF">
          <w:rPr>
            <w:noProof/>
            <w:webHidden/>
          </w:rPr>
          <w:tab/>
        </w:r>
        <w:r w:rsidR="002367EF">
          <w:rPr>
            <w:noProof/>
            <w:webHidden/>
          </w:rPr>
          <w:fldChar w:fldCharType="begin"/>
        </w:r>
        <w:r w:rsidR="002367EF">
          <w:rPr>
            <w:noProof/>
            <w:webHidden/>
          </w:rPr>
          <w:instrText xml:space="preserve"> PAGEREF _Toc81831072 \h </w:instrText>
        </w:r>
        <w:r w:rsidR="002367EF">
          <w:rPr>
            <w:noProof/>
            <w:webHidden/>
          </w:rPr>
        </w:r>
        <w:r w:rsidR="002367EF">
          <w:rPr>
            <w:noProof/>
            <w:webHidden/>
          </w:rPr>
          <w:fldChar w:fldCharType="separate"/>
        </w:r>
        <w:r w:rsidR="002367EF">
          <w:rPr>
            <w:noProof/>
            <w:webHidden/>
          </w:rPr>
          <w:t>23</w:t>
        </w:r>
        <w:r w:rsidR="002367EF">
          <w:rPr>
            <w:noProof/>
            <w:webHidden/>
          </w:rPr>
          <w:fldChar w:fldCharType="end"/>
        </w:r>
      </w:hyperlink>
    </w:p>
    <w:p w14:paraId="3AB44168" w14:textId="34077680" w:rsidR="002367EF" w:rsidRDefault="00463140">
      <w:pPr>
        <w:pStyle w:val="TOC3"/>
        <w:rPr>
          <w:rFonts w:asciiTheme="minorHAnsi" w:eastAsiaTheme="minorEastAsia" w:hAnsiTheme="minorHAnsi" w:cstheme="minorBidi"/>
          <w:noProof/>
          <w:sz w:val="22"/>
          <w:szCs w:val="22"/>
          <w:lang w:val="en-US"/>
        </w:rPr>
      </w:pPr>
      <w:hyperlink w:anchor="_Toc81831073" w:history="1">
        <w:r w:rsidR="002367EF" w:rsidRPr="00914E8E">
          <w:rPr>
            <w:rStyle w:val="Hyperlink"/>
            <w:noProof/>
          </w:rPr>
          <w:t>II.20.3 Conditions visant à déterminer la conformité des pratiques en matière de comptabilité analytique</w:t>
        </w:r>
        <w:r w:rsidR="002367EF">
          <w:rPr>
            <w:noProof/>
            <w:webHidden/>
          </w:rPr>
          <w:tab/>
        </w:r>
        <w:r w:rsidR="002367EF">
          <w:rPr>
            <w:noProof/>
            <w:webHidden/>
          </w:rPr>
          <w:fldChar w:fldCharType="begin"/>
        </w:r>
        <w:r w:rsidR="002367EF">
          <w:rPr>
            <w:noProof/>
            <w:webHidden/>
          </w:rPr>
          <w:instrText xml:space="preserve"> PAGEREF _Toc81831073 \h </w:instrText>
        </w:r>
        <w:r w:rsidR="002367EF">
          <w:rPr>
            <w:noProof/>
            <w:webHidden/>
          </w:rPr>
        </w:r>
        <w:r w:rsidR="002367EF">
          <w:rPr>
            <w:noProof/>
            <w:webHidden/>
          </w:rPr>
          <w:fldChar w:fldCharType="separate"/>
        </w:r>
        <w:r w:rsidR="002367EF">
          <w:rPr>
            <w:noProof/>
            <w:webHidden/>
          </w:rPr>
          <w:t>24</w:t>
        </w:r>
        <w:r w:rsidR="002367EF">
          <w:rPr>
            <w:noProof/>
            <w:webHidden/>
          </w:rPr>
          <w:fldChar w:fldCharType="end"/>
        </w:r>
      </w:hyperlink>
    </w:p>
    <w:p w14:paraId="303E1011" w14:textId="57F18C6C" w:rsidR="002367EF" w:rsidRDefault="00463140">
      <w:pPr>
        <w:pStyle w:val="TOC2"/>
        <w:rPr>
          <w:rFonts w:asciiTheme="minorHAnsi" w:eastAsiaTheme="minorEastAsia" w:hAnsiTheme="minorHAnsi" w:cstheme="minorBidi"/>
          <w:noProof/>
          <w:sz w:val="22"/>
          <w:szCs w:val="22"/>
          <w:lang w:val="en-US"/>
        </w:rPr>
      </w:pPr>
      <w:hyperlink w:anchor="_Toc81831074" w:history="1">
        <w:r w:rsidR="002367EF" w:rsidRPr="00914E8E">
          <w:rPr>
            <w:rStyle w:val="Hyperlink"/>
            <w:noProof/>
          </w:rPr>
          <w:t>ARTICLE II.21 – ÉLIGIBILITÉ DES COÛTS DES ENTITÉS AFFILIÉES AU BÉNÉFICIAIRE</w:t>
        </w:r>
        <w:r w:rsidR="002367EF">
          <w:rPr>
            <w:noProof/>
            <w:webHidden/>
          </w:rPr>
          <w:tab/>
        </w:r>
        <w:r w:rsidR="002367EF">
          <w:rPr>
            <w:noProof/>
            <w:webHidden/>
          </w:rPr>
          <w:fldChar w:fldCharType="begin"/>
        </w:r>
        <w:r w:rsidR="002367EF">
          <w:rPr>
            <w:noProof/>
            <w:webHidden/>
          </w:rPr>
          <w:instrText xml:space="preserve"> PAGEREF _Toc81831074 \h </w:instrText>
        </w:r>
        <w:r w:rsidR="002367EF">
          <w:rPr>
            <w:noProof/>
            <w:webHidden/>
          </w:rPr>
        </w:r>
        <w:r w:rsidR="002367EF">
          <w:rPr>
            <w:noProof/>
            <w:webHidden/>
          </w:rPr>
          <w:fldChar w:fldCharType="separate"/>
        </w:r>
        <w:r w:rsidR="002367EF">
          <w:rPr>
            <w:noProof/>
            <w:webHidden/>
          </w:rPr>
          <w:t>25</w:t>
        </w:r>
        <w:r w:rsidR="002367EF">
          <w:rPr>
            <w:noProof/>
            <w:webHidden/>
          </w:rPr>
          <w:fldChar w:fldCharType="end"/>
        </w:r>
      </w:hyperlink>
    </w:p>
    <w:p w14:paraId="57FB3B7C" w14:textId="6F5149B7" w:rsidR="002367EF" w:rsidRDefault="00463140">
      <w:pPr>
        <w:pStyle w:val="TOC2"/>
        <w:rPr>
          <w:rFonts w:asciiTheme="minorHAnsi" w:eastAsiaTheme="minorEastAsia" w:hAnsiTheme="minorHAnsi" w:cstheme="minorBidi"/>
          <w:noProof/>
          <w:sz w:val="22"/>
          <w:szCs w:val="22"/>
          <w:lang w:val="en-US"/>
        </w:rPr>
      </w:pPr>
      <w:hyperlink w:anchor="_Toc81831075" w:history="1">
        <w:r w:rsidR="002367EF" w:rsidRPr="00914E8E">
          <w:rPr>
            <w:rStyle w:val="Hyperlink"/>
            <w:noProof/>
          </w:rPr>
          <w:t>ARTICLE II.22 – TRANSFERTS BUDGÉTAIRES</w:t>
        </w:r>
        <w:r w:rsidR="002367EF">
          <w:rPr>
            <w:noProof/>
            <w:webHidden/>
          </w:rPr>
          <w:tab/>
        </w:r>
        <w:r w:rsidR="002367EF">
          <w:rPr>
            <w:noProof/>
            <w:webHidden/>
          </w:rPr>
          <w:fldChar w:fldCharType="begin"/>
        </w:r>
        <w:r w:rsidR="002367EF">
          <w:rPr>
            <w:noProof/>
            <w:webHidden/>
          </w:rPr>
          <w:instrText xml:space="preserve"> PAGEREF _Toc81831075 \h </w:instrText>
        </w:r>
        <w:r w:rsidR="002367EF">
          <w:rPr>
            <w:noProof/>
            <w:webHidden/>
          </w:rPr>
        </w:r>
        <w:r w:rsidR="002367EF">
          <w:rPr>
            <w:noProof/>
            <w:webHidden/>
          </w:rPr>
          <w:fldChar w:fldCharType="separate"/>
        </w:r>
        <w:r w:rsidR="002367EF">
          <w:rPr>
            <w:noProof/>
            <w:webHidden/>
          </w:rPr>
          <w:t>25</w:t>
        </w:r>
        <w:r w:rsidR="002367EF">
          <w:rPr>
            <w:noProof/>
            <w:webHidden/>
          </w:rPr>
          <w:fldChar w:fldCharType="end"/>
        </w:r>
      </w:hyperlink>
    </w:p>
    <w:p w14:paraId="5C25DFAF" w14:textId="1E628029" w:rsidR="002367EF" w:rsidRDefault="00463140">
      <w:pPr>
        <w:pStyle w:val="TOC2"/>
        <w:rPr>
          <w:rFonts w:asciiTheme="minorHAnsi" w:eastAsiaTheme="minorEastAsia" w:hAnsiTheme="minorHAnsi" w:cstheme="minorBidi"/>
          <w:noProof/>
          <w:sz w:val="22"/>
          <w:szCs w:val="22"/>
          <w:lang w:val="en-US"/>
        </w:rPr>
      </w:pPr>
      <w:hyperlink w:anchor="_Toc81831076" w:history="1">
        <w:r w:rsidR="002367EF" w:rsidRPr="00914E8E">
          <w:rPr>
            <w:rStyle w:val="Hyperlink"/>
            <w:noProof/>
          </w:rPr>
          <w:t>ARTICLE II.23 – NON-RESPECT DES OBLIGATIONS EN MATIÈRE DE COMMUNICATION D’INFORMATIONS</w:t>
        </w:r>
        <w:r w:rsidR="002367EF">
          <w:rPr>
            <w:noProof/>
            <w:webHidden/>
          </w:rPr>
          <w:tab/>
        </w:r>
        <w:r w:rsidR="002367EF">
          <w:rPr>
            <w:noProof/>
            <w:webHidden/>
          </w:rPr>
          <w:fldChar w:fldCharType="begin"/>
        </w:r>
        <w:r w:rsidR="002367EF">
          <w:rPr>
            <w:noProof/>
            <w:webHidden/>
          </w:rPr>
          <w:instrText xml:space="preserve"> PAGEREF _Toc81831076 \h </w:instrText>
        </w:r>
        <w:r w:rsidR="002367EF">
          <w:rPr>
            <w:noProof/>
            <w:webHidden/>
          </w:rPr>
        </w:r>
        <w:r w:rsidR="002367EF">
          <w:rPr>
            <w:noProof/>
            <w:webHidden/>
          </w:rPr>
          <w:fldChar w:fldCharType="separate"/>
        </w:r>
        <w:r w:rsidR="002367EF">
          <w:rPr>
            <w:noProof/>
            <w:webHidden/>
          </w:rPr>
          <w:t>26</w:t>
        </w:r>
        <w:r w:rsidR="002367EF">
          <w:rPr>
            <w:noProof/>
            <w:webHidden/>
          </w:rPr>
          <w:fldChar w:fldCharType="end"/>
        </w:r>
      </w:hyperlink>
    </w:p>
    <w:p w14:paraId="34031C09" w14:textId="6134067F" w:rsidR="002367EF" w:rsidRDefault="00463140">
      <w:pPr>
        <w:pStyle w:val="TOC2"/>
        <w:rPr>
          <w:rFonts w:asciiTheme="minorHAnsi" w:eastAsiaTheme="minorEastAsia" w:hAnsiTheme="minorHAnsi" w:cstheme="minorBidi"/>
          <w:noProof/>
          <w:sz w:val="22"/>
          <w:szCs w:val="22"/>
          <w:lang w:val="en-US"/>
        </w:rPr>
      </w:pPr>
      <w:hyperlink w:anchor="_Toc81831077" w:history="1">
        <w:r w:rsidR="002367EF" w:rsidRPr="00914E8E">
          <w:rPr>
            <w:rStyle w:val="Hyperlink"/>
            <w:noProof/>
          </w:rPr>
          <w:t>ARTICLE II.24 – SUSPENSION DES PAIEMENTS ET DU DÉLAI DE PAIEMENT</w:t>
        </w:r>
        <w:r w:rsidR="002367EF">
          <w:rPr>
            <w:noProof/>
            <w:webHidden/>
          </w:rPr>
          <w:tab/>
        </w:r>
        <w:r w:rsidR="002367EF">
          <w:rPr>
            <w:noProof/>
            <w:webHidden/>
          </w:rPr>
          <w:fldChar w:fldCharType="begin"/>
        </w:r>
        <w:r w:rsidR="002367EF">
          <w:rPr>
            <w:noProof/>
            <w:webHidden/>
          </w:rPr>
          <w:instrText xml:space="preserve"> PAGEREF _Toc81831077 \h </w:instrText>
        </w:r>
        <w:r w:rsidR="002367EF">
          <w:rPr>
            <w:noProof/>
            <w:webHidden/>
          </w:rPr>
        </w:r>
        <w:r w:rsidR="002367EF">
          <w:rPr>
            <w:noProof/>
            <w:webHidden/>
          </w:rPr>
          <w:fldChar w:fldCharType="separate"/>
        </w:r>
        <w:r w:rsidR="002367EF">
          <w:rPr>
            <w:noProof/>
            <w:webHidden/>
          </w:rPr>
          <w:t>26</w:t>
        </w:r>
        <w:r w:rsidR="002367EF">
          <w:rPr>
            <w:noProof/>
            <w:webHidden/>
          </w:rPr>
          <w:fldChar w:fldCharType="end"/>
        </w:r>
      </w:hyperlink>
    </w:p>
    <w:p w14:paraId="7657487A" w14:textId="2CADF00C" w:rsidR="002367EF" w:rsidRDefault="00463140">
      <w:pPr>
        <w:pStyle w:val="TOC3"/>
        <w:rPr>
          <w:rFonts w:asciiTheme="minorHAnsi" w:eastAsiaTheme="minorEastAsia" w:hAnsiTheme="minorHAnsi" w:cstheme="minorBidi"/>
          <w:noProof/>
          <w:sz w:val="22"/>
          <w:szCs w:val="22"/>
          <w:lang w:val="en-US"/>
        </w:rPr>
      </w:pPr>
      <w:hyperlink w:anchor="_Toc81831078" w:history="1">
        <w:r w:rsidR="002367EF" w:rsidRPr="00914E8E">
          <w:rPr>
            <w:rStyle w:val="Hyperlink"/>
            <w:noProof/>
          </w:rPr>
          <w:t>II.24.1 Suspension des paiements</w:t>
        </w:r>
        <w:r w:rsidR="002367EF">
          <w:rPr>
            <w:noProof/>
            <w:webHidden/>
          </w:rPr>
          <w:tab/>
        </w:r>
        <w:r w:rsidR="002367EF">
          <w:rPr>
            <w:noProof/>
            <w:webHidden/>
          </w:rPr>
          <w:fldChar w:fldCharType="begin"/>
        </w:r>
        <w:r w:rsidR="002367EF">
          <w:rPr>
            <w:noProof/>
            <w:webHidden/>
          </w:rPr>
          <w:instrText xml:space="preserve"> PAGEREF _Toc81831078 \h </w:instrText>
        </w:r>
        <w:r w:rsidR="002367EF">
          <w:rPr>
            <w:noProof/>
            <w:webHidden/>
          </w:rPr>
        </w:r>
        <w:r w:rsidR="002367EF">
          <w:rPr>
            <w:noProof/>
            <w:webHidden/>
          </w:rPr>
          <w:fldChar w:fldCharType="separate"/>
        </w:r>
        <w:r w:rsidR="002367EF">
          <w:rPr>
            <w:noProof/>
            <w:webHidden/>
          </w:rPr>
          <w:t>26</w:t>
        </w:r>
        <w:r w:rsidR="002367EF">
          <w:rPr>
            <w:noProof/>
            <w:webHidden/>
          </w:rPr>
          <w:fldChar w:fldCharType="end"/>
        </w:r>
      </w:hyperlink>
    </w:p>
    <w:p w14:paraId="0D846DE7" w14:textId="5939E3B2" w:rsidR="002367EF" w:rsidRDefault="00463140">
      <w:pPr>
        <w:pStyle w:val="TOC3"/>
        <w:rPr>
          <w:rFonts w:asciiTheme="minorHAnsi" w:eastAsiaTheme="minorEastAsia" w:hAnsiTheme="minorHAnsi" w:cstheme="minorBidi"/>
          <w:noProof/>
          <w:sz w:val="22"/>
          <w:szCs w:val="22"/>
          <w:lang w:val="en-US"/>
        </w:rPr>
      </w:pPr>
      <w:hyperlink w:anchor="_Toc81831079" w:history="1">
        <w:r w:rsidR="002367EF" w:rsidRPr="00914E8E">
          <w:rPr>
            <w:rStyle w:val="Hyperlink"/>
            <w:noProof/>
          </w:rPr>
          <w:t>II.24.2 Suspension du délai de paiement</w:t>
        </w:r>
        <w:r w:rsidR="002367EF">
          <w:rPr>
            <w:noProof/>
            <w:webHidden/>
          </w:rPr>
          <w:tab/>
        </w:r>
        <w:r w:rsidR="002367EF">
          <w:rPr>
            <w:noProof/>
            <w:webHidden/>
          </w:rPr>
          <w:fldChar w:fldCharType="begin"/>
        </w:r>
        <w:r w:rsidR="002367EF">
          <w:rPr>
            <w:noProof/>
            <w:webHidden/>
          </w:rPr>
          <w:instrText xml:space="preserve"> PAGEREF _Toc81831079 \h </w:instrText>
        </w:r>
        <w:r w:rsidR="002367EF">
          <w:rPr>
            <w:noProof/>
            <w:webHidden/>
          </w:rPr>
        </w:r>
        <w:r w:rsidR="002367EF">
          <w:rPr>
            <w:noProof/>
            <w:webHidden/>
          </w:rPr>
          <w:fldChar w:fldCharType="separate"/>
        </w:r>
        <w:r w:rsidR="002367EF">
          <w:rPr>
            <w:noProof/>
            <w:webHidden/>
          </w:rPr>
          <w:t>28</w:t>
        </w:r>
        <w:r w:rsidR="002367EF">
          <w:rPr>
            <w:noProof/>
            <w:webHidden/>
          </w:rPr>
          <w:fldChar w:fldCharType="end"/>
        </w:r>
      </w:hyperlink>
    </w:p>
    <w:p w14:paraId="2C78FAE1" w14:textId="60F8C68C" w:rsidR="002367EF" w:rsidRDefault="00463140">
      <w:pPr>
        <w:pStyle w:val="TOC2"/>
        <w:rPr>
          <w:rFonts w:asciiTheme="minorHAnsi" w:eastAsiaTheme="minorEastAsia" w:hAnsiTheme="minorHAnsi" w:cstheme="minorBidi"/>
          <w:noProof/>
          <w:sz w:val="22"/>
          <w:szCs w:val="22"/>
          <w:lang w:val="en-US"/>
        </w:rPr>
      </w:pPr>
      <w:hyperlink w:anchor="_Toc81831080" w:history="1">
        <w:r w:rsidR="002367EF" w:rsidRPr="00914E8E">
          <w:rPr>
            <w:rStyle w:val="Hyperlink"/>
            <w:noProof/>
          </w:rPr>
          <w:t>ARTICLE II.25 – CALCUL DU MONTANT FINAL DE LA SUBVENTION</w:t>
        </w:r>
        <w:r w:rsidR="002367EF">
          <w:rPr>
            <w:noProof/>
            <w:webHidden/>
          </w:rPr>
          <w:tab/>
        </w:r>
        <w:r w:rsidR="002367EF">
          <w:rPr>
            <w:noProof/>
            <w:webHidden/>
          </w:rPr>
          <w:fldChar w:fldCharType="begin"/>
        </w:r>
        <w:r w:rsidR="002367EF">
          <w:rPr>
            <w:noProof/>
            <w:webHidden/>
          </w:rPr>
          <w:instrText xml:space="preserve"> PAGEREF _Toc81831080 \h </w:instrText>
        </w:r>
        <w:r w:rsidR="002367EF">
          <w:rPr>
            <w:noProof/>
            <w:webHidden/>
          </w:rPr>
        </w:r>
        <w:r w:rsidR="002367EF">
          <w:rPr>
            <w:noProof/>
            <w:webHidden/>
          </w:rPr>
          <w:fldChar w:fldCharType="separate"/>
        </w:r>
        <w:r w:rsidR="002367EF">
          <w:rPr>
            <w:noProof/>
            <w:webHidden/>
          </w:rPr>
          <w:t>28</w:t>
        </w:r>
        <w:r w:rsidR="002367EF">
          <w:rPr>
            <w:noProof/>
            <w:webHidden/>
          </w:rPr>
          <w:fldChar w:fldCharType="end"/>
        </w:r>
      </w:hyperlink>
    </w:p>
    <w:p w14:paraId="383D59EA" w14:textId="4DD8DBE2" w:rsidR="002367EF" w:rsidRDefault="00463140">
      <w:pPr>
        <w:pStyle w:val="TOC3"/>
        <w:tabs>
          <w:tab w:val="left" w:pos="2880"/>
        </w:tabs>
        <w:rPr>
          <w:rFonts w:asciiTheme="minorHAnsi" w:eastAsiaTheme="minorEastAsia" w:hAnsiTheme="minorHAnsi" w:cstheme="minorBidi"/>
          <w:noProof/>
          <w:sz w:val="22"/>
          <w:szCs w:val="22"/>
          <w:lang w:val="en-US"/>
        </w:rPr>
      </w:pPr>
      <w:hyperlink w:anchor="_Toc81831081" w:history="1">
        <w:r w:rsidR="002367EF" w:rsidRPr="00914E8E">
          <w:rPr>
            <w:rStyle w:val="Hyperlink"/>
            <w:noProof/>
          </w:rPr>
          <w:t>II.25.1</w:t>
        </w:r>
        <w:r w:rsidR="002367EF">
          <w:rPr>
            <w:rFonts w:asciiTheme="minorHAnsi" w:eastAsiaTheme="minorEastAsia" w:hAnsiTheme="minorHAnsi" w:cstheme="minorBidi"/>
            <w:noProof/>
            <w:sz w:val="22"/>
            <w:szCs w:val="22"/>
            <w:lang w:val="en-US"/>
          </w:rPr>
          <w:tab/>
        </w:r>
        <w:r w:rsidR="002367EF" w:rsidRPr="00914E8E">
          <w:rPr>
            <w:rStyle w:val="Hyperlink"/>
            <w:noProof/>
          </w:rPr>
          <w:t>Étape 1 — Application du taux de remboursement aux coûts éligibles et ajout du financement non lié aux coûts et des contributions unitaires, forfaitaires et à taux forfaitaire</w:t>
        </w:r>
        <w:r w:rsidR="002367EF">
          <w:rPr>
            <w:noProof/>
            <w:webHidden/>
          </w:rPr>
          <w:tab/>
        </w:r>
        <w:r w:rsidR="002367EF">
          <w:rPr>
            <w:noProof/>
            <w:webHidden/>
          </w:rPr>
          <w:fldChar w:fldCharType="begin"/>
        </w:r>
        <w:r w:rsidR="002367EF">
          <w:rPr>
            <w:noProof/>
            <w:webHidden/>
          </w:rPr>
          <w:instrText xml:space="preserve"> PAGEREF _Toc81831081 \h </w:instrText>
        </w:r>
        <w:r w:rsidR="002367EF">
          <w:rPr>
            <w:noProof/>
            <w:webHidden/>
          </w:rPr>
        </w:r>
        <w:r w:rsidR="002367EF">
          <w:rPr>
            <w:noProof/>
            <w:webHidden/>
          </w:rPr>
          <w:fldChar w:fldCharType="separate"/>
        </w:r>
        <w:r w:rsidR="002367EF">
          <w:rPr>
            <w:noProof/>
            <w:webHidden/>
          </w:rPr>
          <w:t>29</w:t>
        </w:r>
        <w:r w:rsidR="002367EF">
          <w:rPr>
            <w:noProof/>
            <w:webHidden/>
          </w:rPr>
          <w:fldChar w:fldCharType="end"/>
        </w:r>
      </w:hyperlink>
    </w:p>
    <w:p w14:paraId="24AF271F" w14:textId="0B371C04" w:rsidR="002367EF" w:rsidRDefault="00463140">
      <w:pPr>
        <w:pStyle w:val="TOC3"/>
        <w:tabs>
          <w:tab w:val="left" w:pos="2880"/>
        </w:tabs>
        <w:rPr>
          <w:rFonts w:asciiTheme="minorHAnsi" w:eastAsiaTheme="minorEastAsia" w:hAnsiTheme="minorHAnsi" w:cstheme="minorBidi"/>
          <w:noProof/>
          <w:sz w:val="22"/>
          <w:szCs w:val="22"/>
          <w:lang w:val="en-US"/>
        </w:rPr>
      </w:pPr>
      <w:hyperlink w:anchor="_Toc81831082" w:history="1">
        <w:r w:rsidR="002367EF" w:rsidRPr="00914E8E">
          <w:rPr>
            <w:rStyle w:val="Hyperlink"/>
            <w:noProof/>
          </w:rPr>
          <w:t>II.25.2</w:t>
        </w:r>
        <w:r w:rsidR="002367EF">
          <w:rPr>
            <w:rFonts w:asciiTheme="minorHAnsi" w:eastAsiaTheme="minorEastAsia" w:hAnsiTheme="minorHAnsi" w:cstheme="minorBidi"/>
            <w:noProof/>
            <w:sz w:val="22"/>
            <w:szCs w:val="22"/>
            <w:lang w:val="en-US"/>
          </w:rPr>
          <w:tab/>
        </w:r>
        <w:r w:rsidR="002367EF" w:rsidRPr="00914E8E">
          <w:rPr>
            <w:rStyle w:val="Hyperlink"/>
            <w:noProof/>
          </w:rPr>
          <w:t xml:space="preserve"> Étape 2 — Limitation au montant maximal de la subvention</w:t>
        </w:r>
        <w:r w:rsidR="002367EF">
          <w:rPr>
            <w:noProof/>
            <w:webHidden/>
          </w:rPr>
          <w:tab/>
        </w:r>
        <w:r w:rsidR="002367EF">
          <w:rPr>
            <w:noProof/>
            <w:webHidden/>
          </w:rPr>
          <w:fldChar w:fldCharType="begin"/>
        </w:r>
        <w:r w:rsidR="002367EF">
          <w:rPr>
            <w:noProof/>
            <w:webHidden/>
          </w:rPr>
          <w:instrText xml:space="preserve"> PAGEREF _Toc81831082 \h </w:instrText>
        </w:r>
        <w:r w:rsidR="002367EF">
          <w:rPr>
            <w:noProof/>
            <w:webHidden/>
          </w:rPr>
        </w:r>
        <w:r w:rsidR="002367EF">
          <w:rPr>
            <w:noProof/>
            <w:webHidden/>
          </w:rPr>
          <w:fldChar w:fldCharType="separate"/>
        </w:r>
        <w:r w:rsidR="002367EF">
          <w:rPr>
            <w:noProof/>
            <w:webHidden/>
          </w:rPr>
          <w:t>30</w:t>
        </w:r>
        <w:r w:rsidR="002367EF">
          <w:rPr>
            <w:noProof/>
            <w:webHidden/>
          </w:rPr>
          <w:fldChar w:fldCharType="end"/>
        </w:r>
      </w:hyperlink>
    </w:p>
    <w:p w14:paraId="6E7CA42E" w14:textId="2C754D9E" w:rsidR="002367EF" w:rsidRDefault="00463140">
      <w:pPr>
        <w:pStyle w:val="TOC3"/>
        <w:tabs>
          <w:tab w:val="left" w:pos="2880"/>
        </w:tabs>
        <w:rPr>
          <w:rFonts w:asciiTheme="minorHAnsi" w:eastAsiaTheme="minorEastAsia" w:hAnsiTheme="minorHAnsi" w:cstheme="minorBidi"/>
          <w:noProof/>
          <w:sz w:val="22"/>
          <w:szCs w:val="22"/>
          <w:lang w:val="en-US"/>
        </w:rPr>
      </w:pPr>
      <w:hyperlink w:anchor="_Toc81831083" w:history="1">
        <w:r w:rsidR="002367EF" w:rsidRPr="00914E8E">
          <w:rPr>
            <w:rStyle w:val="Hyperlink"/>
            <w:noProof/>
          </w:rPr>
          <w:t>II.25.3</w:t>
        </w:r>
        <w:r w:rsidR="002367EF">
          <w:rPr>
            <w:rFonts w:asciiTheme="minorHAnsi" w:eastAsiaTheme="minorEastAsia" w:hAnsiTheme="minorHAnsi" w:cstheme="minorBidi"/>
            <w:noProof/>
            <w:sz w:val="22"/>
            <w:szCs w:val="22"/>
            <w:lang w:val="en-US"/>
          </w:rPr>
          <w:tab/>
        </w:r>
        <w:r w:rsidR="002367EF" w:rsidRPr="00914E8E">
          <w:rPr>
            <w:rStyle w:val="Hyperlink"/>
            <w:noProof/>
          </w:rPr>
          <w:t xml:space="preserve"> Étape 3 — Réduction du fait de la règle du non-profit</w:t>
        </w:r>
        <w:r w:rsidR="002367EF">
          <w:rPr>
            <w:noProof/>
            <w:webHidden/>
          </w:rPr>
          <w:tab/>
        </w:r>
        <w:r w:rsidR="002367EF">
          <w:rPr>
            <w:noProof/>
            <w:webHidden/>
          </w:rPr>
          <w:fldChar w:fldCharType="begin"/>
        </w:r>
        <w:r w:rsidR="002367EF">
          <w:rPr>
            <w:noProof/>
            <w:webHidden/>
          </w:rPr>
          <w:instrText xml:space="preserve"> PAGEREF _Toc81831083 \h </w:instrText>
        </w:r>
        <w:r w:rsidR="002367EF">
          <w:rPr>
            <w:noProof/>
            <w:webHidden/>
          </w:rPr>
        </w:r>
        <w:r w:rsidR="002367EF">
          <w:rPr>
            <w:noProof/>
            <w:webHidden/>
          </w:rPr>
          <w:fldChar w:fldCharType="separate"/>
        </w:r>
        <w:r w:rsidR="002367EF">
          <w:rPr>
            <w:noProof/>
            <w:webHidden/>
          </w:rPr>
          <w:t>30</w:t>
        </w:r>
        <w:r w:rsidR="002367EF">
          <w:rPr>
            <w:noProof/>
            <w:webHidden/>
          </w:rPr>
          <w:fldChar w:fldCharType="end"/>
        </w:r>
      </w:hyperlink>
    </w:p>
    <w:p w14:paraId="3EB36356" w14:textId="0C44E753" w:rsidR="002367EF" w:rsidRDefault="00463140">
      <w:pPr>
        <w:pStyle w:val="TOC3"/>
        <w:tabs>
          <w:tab w:val="left" w:pos="2880"/>
        </w:tabs>
        <w:rPr>
          <w:rFonts w:asciiTheme="minorHAnsi" w:eastAsiaTheme="minorEastAsia" w:hAnsiTheme="minorHAnsi" w:cstheme="minorBidi"/>
          <w:noProof/>
          <w:sz w:val="22"/>
          <w:szCs w:val="22"/>
          <w:lang w:val="en-US"/>
        </w:rPr>
      </w:pPr>
      <w:hyperlink w:anchor="_Toc81831084" w:history="1">
        <w:r w:rsidR="002367EF" w:rsidRPr="00914E8E">
          <w:rPr>
            <w:rStyle w:val="Hyperlink"/>
            <w:noProof/>
          </w:rPr>
          <w:t>II.25.4</w:t>
        </w:r>
        <w:r w:rsidR="002367EF">
          <w:rPr>
            <w:rFonts w:asciiTheme="minorHAnsi" w:eastAsiaTheme="minorEastAsia" w:hAnsiTheme="minorHAnsi" w:cstheme="minorBidi"/>
            <w:noProof/>
            <w:sz w:val="22"/>
            <w:szCs w:val="22"/>
            <w:lang w:val="en-US"/>
          </w:rPr>
          <w:tab/>
        </w:r>
        <w:r w:rsidR="002367EF" w:rsidRPr="00914E8E">
          <w:rPr>
            <w:rStyle w:val="Hyperlink"/>
            <w:noProof/>
          </w:rPr>
          <w:t>Étape 4 — Réduction en raison d’une exécution incorrecte, d’irrégularités, d’une fraude ou d’une violation d’obligations</w:t>
        </w:r>
        <w:r w:rsidR="002367EF">
          <w:rPr>
            <w:noProof/>
            <w:webHidden/>
          </w:rPr>
          <w:tab/>
        </w:r>
        <w:r w:rsidR="002367EF">
          <w:rPr>
            <w:noProof/>
            <w:webHidden/>
          </w:rPr>
          <w:fldChar w:fldCharType="begin"/>
        </w:r>
        <w:r w:rsidR="002367EF">
          <w:rPr>
            <w:noProof/>
            <w:webHidden/>
          </w:rPr>
          <w:instrText xml:space="preserve"> PAGEREF _Toc81831084 \h </w:instrText>
        </w:r>
        <w:r w:rsidR="002367EF">
          <w:rPr>
            <w:noProof/>
            <w:webHidden/>
          </w:rPr>
        </w:r>
        <w:r w:rsidR="002367EF">
          <w:rPr>
            <w:noProof/>
            <w:webHidden/>
          </w:rPr>
          <w:fldChar w:fldCharType="separate"/>
        </w:r>
        <w:r w:rsidR="002367EF">
          <w:rPr>
            <w:noProof/>
            <w:webHidden/>
          </w:rPr>
          <w:t>31</w:t>
        </w:r>
        <w:r w:rsidR="002367EF">
          <w:rPr>
            <w:noProof/>
            <w:webHidden/>
          </w:rPr>
          <w:fldChar w:fldCharType="end"/>
        </w:r>
      </w:hyperlink>
    </w:p>
    <w:p w14:paraId="02F6A001" w14:textId="5005619D" w:rsidR="002367EF" w:rsidRDefault="00463140">
      <w:pPr>
        <w:pStyle w:val="TOC2"/>
        <w:rPr>
          <w:rFonts w:asciiTheme="minorHAnsi" w:eastAsiaTheme="minorEastAsia" w:hAnsiTheme="minorHAnsi" w:cstheme="minorBidi"/>
          <w:noProof/>
          <w:sz w:val="22"/>
          <w:szCs w:val="22"/>
          <w:lang w:val="en-US"/>
        </w:rPr>
      </w:pPr>
      <w:hyperlink w:anchor="_Toc81831085" w:history="1">
        <w:r w:rsidR="002367EF" w:rsidRPr="00914E8E">
          <w:rPr>
            <w:rStyle w:val="Hyperlink"/>
            <w:noProof/>
          </w:rPr>
          <w:t>ARTICLE II.26 – RECOUVREMENT</w:t>
        </w:r>
        <w:r w:rsidR="002367EF">
          <w:rPr>
            <w:noProof/>
            <w:webHidden/>
          </w:rPr>
          <w:tab/>
        </w:r>
        <w:r w:rsidR="002367EF">
          <w:rPr>
            <w:noProof/>
            <w:webHidden/>
          </w:rPr>
          <w:fldChar w:fldCharType="begin"/>
        </w:r>
        <w:r w:rsidR="002367EF">
          <w:rPr>
            <w:noProof/>
            <w:webHidden/>
          </w:rPr>
          <w:instrText xml:space="preserve"> PAGEREF _Toc81831085 \h </w:instrText>
        </w:r>
        <w:r w:rsidR="002367EF">
          <w:rPr>
            <w:noProof/>
            <w:webHidden/>
          </w:rPr>
        </w:r>
        <w:r w:rsidR="002367EF">
          <w:rPr>
            <w:noProof/>
            <w:webHidden/>
          </w:rPr>
          <w:fldChar w:fldCharType="separate"/>
        </w:r>
        <w:r w:rsidR="002367EF">
          <w:rPr>
            <w:noProof/>
            <w:webHidden/>
          </w:rPr>
          <w:t>32</w:t>
        </w:r>
        <w:r w:rsidR="002367EF">
          <w:rPr>
            <w:noProof/>
            <w:webHidden/>
          </w:rPr>
          <w:fldChar w:fldCharType="end"/>
        </w:r>
      </w:hyperlink>
    </w:p>
    <w:p w14:paraId="4A64FDF6" w14:textId="0CDBB808" w:rsidR="002367EF" w:rsidRDefault="00463140">
      <w:pPr>
        <w:pStyle w:val="TOC3"/>
        <w:tabs>
          <w:tab w:val="left" w:pos="2880"/>
        </w:tabs>
        <w:rPr>
          <w:rFonts w:asciiTheme="minorHAnsi" w:eastAsiaTheme="minorEastAsia" w:hAnsiTheme="minorHAnsi" w:cstheme="minorBidi"/>
          <w:noProof/>
          <w:sz w:val="22"/>
          <w:szCs w:val="22"/>
          <w:lang w:val="en-US"/>
        </w:rPr>
      </w:pPr>
      <w:hyperlink w:anchor="_Toc81831086" w:history="1">
        <w:r w:rsidR="002367EF" w:rsidRPr="00914E8E">
          <w:rPr>
            <w:rStyle w:val="Hyperlink"/>
            <w:noProof/>
          </w:rPr>
          <w:t>II.26.1</w:t>
        </w:r>
        <w:r w:rsidR="002367EF">
          <w:rPr>
            <w:rFonts w:asciiTheme="minorHAnsi" w:eastAsiaTheme="minorEastAsia" w:hAnsiTheme="minorHAnsi" w:cstheme="minorBidi"/>
            <w:noProof/>
            <w:sz w:val="22"/>
            <w:szCs w:val="22"/>
            <w:lang w:val="en-US"/>
          </w:rPr>
          <w:tab/>
        </w:r>
        <w:r w:rsidR="002367EF" w:rsidRPr="00914E8E">
          <w:rPr>
            <w:rStyle w:val="Hyperlink"/>
            <w:noProof/>
          </w:rPr>
          <w:t>Recouvrement</w:t>
        </w:r>
        <w:r w:rsidR="002367EF">
          <w:rPr>
            <w:noProof/>
            <w:webHidden/>
          </w:rPr>
          <w:tab/>
        </w:r>
        <w:r w:rsidR="002367EF">
          <w:rPr>
            <w:noProof/>
            <w:webHidden/>
          </w:rPr>
          <w:fldChar w:fldCharType="begin"/>
        </w:r>
        <w:r w:rsidR="002367EF">
          <w:rPr>
            <w:noProof/>
            <w:webHidden/>
          </w:rPr>
          <w:instrText xml:space="preserve"> PAGEREF _Toc81831086 \h </w:instrText>
        </w:r>
        <w:r w:rsidR="002367EF">
          <w:rPr>
            <w:noProof/>
            <w:webHidden/>
          </w:rPr>
        </w:r>
        <w:r w:rsidR="002367EF">
          <w:rPr>
            <w:noProof/>
            <w:webHidden/>
          </w:rPr>
          <w:fldChar w:fldCharType="separate"/>
        </w:r>
        <w:r w:rsidR="002367EF">
          <w:rPr>
            <w:noProof/>
            <w:webHidden/>
          </w:rPr>
          <w:t>32</w:t>
        </w:r>
        <w:r w:rsidR="002367EF">
          <w:rPr>
            <w:noProof/>
            <w:webHidden/>
          </w:rPr>
          <w:fldChar w:fldCharType="end"/>
        </w:r>
      </w:hyperlink>
    </w:p>
    <w:p w14:paraId="1F6F97AB" w14:textId="7C1D42E2" w:rsidR="002367EF" w:rsidRDefault="00463140">
      <w:pPr>
        <w:pStyle w:val="TOC3"/>
        <w:tabs>
          <w:tab w:val="left" w:pos="2880"/>
        </w:tabs>
        <w:rPr>
          <w:rFonts w:asciiTheme="minorHAnsi" w:eastAsiaTheme="minorEastAsia" w:hAnsiTheme="minorHAnsi" w:cstheme="minorBidi"/>
          <w:noProof/>
          <w:sz w:val="22"/>
          <w:szCs w:val="22"/>
          <w:lang w:val="en-US"/>
        </w:rPr>
      </w:pPr>
      <w:hyperlink w:anchor="_Toc81831087" w:history="1">
        <w:r w:rsidR="002367EF" w:rsidRPr="00914E8E">
          <w:rPr>
            <w:rStyle w:val="Hyperlink"/>
            <w:noProof/>
          </w:rPr>
          <w:t>II.26.2</w:t>
        </w:r>
        <w:r w:rsidR="002367EF">
          <w:rPr>
            <w:rFonts w:asciiTheme="minorHAnsi" w:eastAsiaTheme="minorEastAsia" w:hAnsiTheme="minorHAnsi" w:cstheme="minorBidi"/>
            <w:noProof/>
            <w:sz w:val="22"/>
            <w:szCs w:val="22"/>
            <w:lang w:val="en-US"/>
          </w:rPr>
          <w:tab/>
        </w:r>
        <w:r w:rsidR="002367EF" w:rsidRPr="00914E8E">
          <w:rPr>
            <w:rStyle w:val="Hyperlink"/>
            <w:noProof/>
          </w:rPr>
          <w:t>Procédure de recouvrement</w:t>
        </w:r>
        <w:r w:rsidR="002367EF">
          <w:rPr>
            <w:noProof/>
            <w:webHidden/>
          </w:rPr>
          <w:tab/>
        </w:r>
        <w:r w:rsidR="002367EF">
          <w:rPr>
            <w:noProof/>
            <w:webHidden/>
          </w:rPr>
          <w:fldChar w:fldCharType="begin"/>
        </w:r>
        <w:r w:rsidR="002367EF">
          <w:rPr>
            <w:noProof/>
            <w:webHidden/>
          </w:rPr>
          <w:instrText xml:space="preserve"> PAGEREF _Toc81831087 \h </w:instrText>
        </w:r>
        <w:r w:rsidR="002367EF">
          <w:rPr>
            <w:noProof/>
            <w:webHidden/>
          </w:rPr>
        </w:r>
        <w:r w:rsidR="002367EF">
          <w:rPr>
            <w:noProof/>
            <w:webHidden/>
          </w:rPr>
          <w:fldChar w:fldCharType="separate"/>
        </w:r>
        <w:r w:rsidR="002367EF">
          <w:rPr>
            <w:noProof/>
            <w:webHidden/>
          </w:rPr>
          <w:t>32</w:t>
        </w:r>
        <w:r w:rsidR="002367EF">
          <w:rPr>
            <w:noProof/>
            <w:webHidden/>
          </w:rPr>
          <w:fldChar w:fldCharType="end"/>
        </w:r>
      </w:hyperlink>
    </w:p>
    <w:p w14:paraId="171A48AD" w14:textId="1AB10E7D" w:rsidR="002367EF" w:rsidRDefault="00463140">
      <w:pPr>
        <w:pStyle w:val="TOC3"/>
        <w:tabs>
          <w:tab w:val="left" w:pos="2880"/>
        </w:tabs>
        <w:rPr>
          <w:rFonts w:asciiTheme="minorHAnsi" w:eastAsiaTheme="minorEastAsia" w:hAnsiTheme="minorHAnsi" w:cstheme="minorBidi"/>
          <w:noProof/>
          <w:sz w:val="22"/>
          <w:szCs w:val="22"/>
          <w:lang w:val="en-US"/>
        </w:rPr>
      </w:pPr>
      <w:hyperlink w:anchor="_Toc81831088" w:history="1">
        <w:r w:rsidR="002367EF" w:rsidRPr="00914E8E">
          <w:rPr>
            <w:rStyle w:val="Hyperlink"/>
            <w:noProof/>
          </w:rPr>
          <w:t>II.26.3</w:t>
        </w:r>
        <w:r w:rsidR="002367EF">
          <w:rPr>
            <w:rFonts w:asciiTheme="minorHAnsi" w:eastAsiaTheme="minorEastAsia" w:hAnsiTheme="minorHAnsi" w:cstheme="minorBidi"/>
            <w:noProof/>
            <w:sz w:val="22"/>
            <w:szCs w:val="22"/>
            <w:lang w:val="en-US"/>
          </w:rPr>
          <w:tab/>
        </w:r>
        <w:r w:rsidR="002367EF" w:rsidRPr="00914E8E">
          <w:rPr>
            <w:rStyle w:val="Hyperlink"/>
            <w:noProof/>
          </w:rPr>
          <w:t>Intérêts de retard</w:t>
        </w:r>
        <w:r w:rsidR="002367EF">
          <w:rPr>
            <w:noProof/>
            <w:webHidden/>
          </w:rPr>
          <w:tab/>
        </w:r>
        <w:r w:rsidR="002367EF">
          <w:rPr>
            <w:noProof/>
            <w:webHidden/>
          </w:rPr>
          <w:fldChar w:fldCharType="begin"/>
        </w:r>
        <w:r w:rsidR="002367EF">
          <w:rPr>
            <w:noProof/>
            <w:webHidden/>
          </w:rPr>
          <w:instrText xml:space="preserve"> PAGEREF _Toc81831088 \h </w:instrText>
        </w:r>
        <w:r w:rsidR="002367EF">
          <w:rPr>
            <w:noProof/>
            <w:webHidden/>
          </w:rPr>
        </w:r>
        <w:r w:rsidR="002367EF">
          <w:rPr>
            <w:noProof/>
            <w:webHidden/>
          </w:rPr>
          <w:fldChar w:fldCharType="separate"/>
        </w:r>
        <w:r w:rsidR="002367EF">
          <w:rPr>
            <w:noProof/>
            <w:webHidden/>
          </w:rPr>
          <w:t>33</w:t>
        </w:r>
        <w:r w:rsidR="002367EF">
          <w:rPr>
            <w:noProof/>
            <w:webHidden/>
          </w:rPr>
          <w:fldChar w:fldCharType="end"/>
        </w:r>
      </w:hyperlink>
    </w:p>
    <w:p w14:paraId="6662C83F" w14:textId="2198F02B" w:rsidR="002367EF" w:rsidRDefault="00463140">
      <w:pPr>
        <w:pStyle w:val="TOC3"/>
        <w:tabs>
          <w:tab w:val="left" w:pos="2880"/>
        </w:tabs>
        <w:rPr>
          <w:rFonts w:asciiTheme="minorHAnsi" w:eastAsiaTheme="minorEastAsia" w:hAnsiTheme="minorHAnsi" w:cstheme="minorBidi"/>
          <w:noProof/>
          <w:sz w:val="22"/>
          <w:szCs w:val="22"/>
          <w:lang w:val="en-US"/>
        </w:rPr>
      </w:pPr>
      <w:hyperlink w:anchor="_Toc81831089" w:history="1">
        <w:r w:rsidR="002367EF" w:rsidRPr="00914E8E">
          <w:rPr>
            <w:rStyle w:val="Hyperlink"/>
            <w:noProof/>
          </w:rPr>
          <w:t>II.26.4</w:t>
        </w:r>
        <w:r w:rsidR="002367EF">
          <w:rPr>
            <w:rFonts w:asciiTheme="minorHAnsi" w:eastAsiaTheme="minorEastAsia" w:hAnsiTheme="minorHAnsi" w:cstheme="minorBidi"/>
            <w:noProof/>
            <w:sz w:val="22"/>
            <w:szCs w:val="22"/>
            <w:lang w:val="en-US"/>
          </w:rPr>
          <w:tab/>
        </w:r>
        <w:r w:rsidR="002367EF" w:rsidRPr="00914E8E">
          <w:rPr>
            <w:rStyle w:val="Hyperlink"/>
            <w:noProof/>
          </w:rPr>
          <w:t>Frais bancaires</w:t>
        </w:r>
        <w:r w:rsidR="002367EF">
          <w:rPr>
            <w:noProof/>
            <w:webHidden/>
          </w:rPr>
          <w:tab/>
        </w:r>
        <w:r w:rsidR="002367EF">
          <w:rPr>
            <w:noProof/>
            <w:webHidden/>
          </w:rPr>
          <w:fldChar w:fldCharType="begin"/>
        </w:r>
        <w:r w:rsidR="002367EF">
          <w:rPr>
            <w:noProof/>
            <w:webHidden/>
          </w:rPr>
          <w:instrText xml:space="preserve"> PAGEREF _Toc81831089 \h </w:instrText>
        </w:r>
        <w:r w:rsidR="002367EF">
          <w:rPr>
            <w:noProof/>
            <w:webHidden/>
          </w:rPr>
        </w:r>
        <w:r w:rsidR="002367EF">
          <w:rPr>
            <w:noProof/>
            <w:webHidden/>
          </w:rPr>
          <w:fldChar w:fldCharType="separate"/>
        </w:r>
        <w:r w:rsidR="002367EF">
          <w:rPr>
            <w:noProof/>
            <w:webHidden/>
          </w:rPr>
          <w:t>33</w:t>
        </w:r>
        <w:r w:rsidR="002367EF">
          <w:rPr>
            <w:noProof/>
            <w:webHidden/>
          </w:rPr>
          <w:fldChar w:fldCharType="end"/>
        </w:r>
      </w:hyperlink>
    </w:p>
    <w:p w14:paraId="76A909F3" w14:textId="0FB023C7" w:rsidR="002367EF" w:rsidRDefault="00463140">
      <w:pPr>
        <w:pStyle w:val="TOC2"/>
        <w:rPr>
          <w:rFonts w:asciiTheme="minorHAnsi" w:eastAsiaTheme="minorEastAsia" w:hAnsiTheme="minorHAnsi" w:cstheme="minorBidi"/>
          <w:noProof/>
          <w:sz w:val="22"/>
          <w:szCs w:val="22"/>
          <w:lang w:val="en-US"/>
        </w:rPr>
      </w:pPr>
      <w:hyperlink w:anchor="_Toc81831090" w:history="1">
        <w:r w:rsidR="002367EF" w:rsidRPr="00914E8E">
          <w:rPr>
            <w:rStyle w:val="Hyperlink"/>
            <w:noProof/>
          </w:rPr>
          <w:t>ARTICLE II.27 – CONTRÔLES, AUDITS ET ÉVALUATION</w:t>
        </w:r>
        <w:r w:rsidR="002367EF">
          <w:rPr>
            <w:noProof/>
            <w:webHidden/>
          </w:rPr>
          <w:tab/>
        </w:r>
        <w:r w:rsidR="002367EF">
          <w:rPr>
            <w:noProof/>
            <w:webHidden/>
          </w:rPr>
          <w:fldChar w:fldCharType="begin"/>
        </w:r>
        <w:r w:rsidR="002367EF">
          <w:rPr>
            <w:noProof/>
            <w:webHidden/>
          </w:rPr>
          <w:instrText xml:space="preserve"> PAGEREF _Toc81831090 \h </w:instrText>
        </w:r>
        <w:r w:rsidR="002367EF">
          <w:rPr>
            <w:noProof/>
            <w:webHidden/>
          </w:rPr>
        </w:r>
        <w:r w:rsidR="002367EF">
          <w:rPr>
            <w:noProof/>
            <w:webHidden/>
          </w:rPr>
          <w:fldChar w:fldCharType="separate"/>
        </w:r>
        <w:r w:rsidR="002367EF">
          <w:rPr>
            <w:noProof/>
            <w:webHidden/>
          </w:rPr>
          <w:t>33</w:t>
        </w:r>
        <w:r w:rsidR="002367EF">
          <w:rPr>
            <w:noProof/>
            <w:webHidden/>
          </w:rPr>
          <w:fldChar w:fldCharType="end"/>
        </w:r>
      </w:hyperlink>
    </w:p>
    <w:p w14:paraId="4DEFB327" w14:textId="00E254F3" w:rsidR="002367EF" w:rsidRDefault="00463140">
      <w:pPr>
        <w:pStyle w:val="TOC3"/>
        <w:tabs>
          <w:tab w:val="left" w:pos="2880"/>
        </w:tabs>
        <w:rPr>
          <w:rFonts w:asciiTheme="minorHAnsi" w:eastAsiaTheme="minorEastAsia" w:hAnsiTheme="minorHAnsi" w:cstheme="minorBidi"/>
          <w:noProof/>
          <w:sz w:val="22"/>
          <w:szCs w:val="22"/>
          <w:lang w:val="en-US"/>
        </w:rPr>
      </w:pPr>
      <w:hyperlink w:anchor="_Toc81831091" w:history="1">
        <w:r w:rsidR="002367EF" w:rsidRPr="00914E8E">
          <w:rPr>
            <w:rStyle w:val="Hyperlink"/>
            <w:noProof/>
          </w:rPr>
          <w:t>II.27.1</w:t>
        </w:r>
        <w:r w:rsidR="002367EF">
          <w:rPr>
            <w:rFonts w:asciiTheme="minorHAnsi" w:eastAsiaTheme="minorEastAsia" w:hAnsiTheme="minorHAnsi" w:cstheme="minorBidi"/>
            <w:noProof/>
            <w:sz w:val="22"/>
            <w:szCs w:val="22"/>
            <w:lang w:val="en-US"/>
          </w:rPr>
          <w:tab/>
        </w:r>
        <w:r w:rsidR="002367EF" w:rsidRPr="00914E8E">
          <w:rPr>
            <w:rStyle w:val="Hyperlink"/>
            <w:noProof/>
          </w:rPr>
          <w:t>Contrôles et audits techniques et financiers, évaluations intermédiaire et finale</w:t>
        </w:r>
        <w:r w:rsidR="002367EF">
          <w:rPr>
            <w:noProof/>
            <w:webHidden/>
          </w:rPr>
          <w:tab/>
        </w:r>
        <w:r w:rsidR="002367EF">
          <w:rPr>
            <w:noProof/>
            <w:webHidden/>
          </w:rPr>
          <w:fldChar w:fldCharType="begin"/>
        </w:r>
        <w:r w:rsidR="002367EF">
          <w:rPr>
            <w:noProof/>
            <w:webHidden/>
          </w:rPr>
          <w:instrText xml:space="preserve"> PAGEREF _Toc81831091 \h </w:instrText>
        </w:r>
        <w:r w:rsidR="002367EF">
          <w:rPr>
            <w:noProof/>
            <w:webHidden/>
          </w:rPr>
        </w:r>
        <w:r w:rsidR="002367EF">
          <w:rPr>
            <w:noProof/>
            <w:webHidden/>
          </w:rPr>
          <w:fldChar w:fldCharType="separate"/>
        </w:r>
        <w:r w:rsidR="002367EF">
          <w:rPr>
            <w:noProof/>
            <w:webHidden/>
          </w:rPr>
          <w:t>33</w:t>
        </w:r>
        <w:r w:rsidR="002367EF">
          <w:rPr>
            <w:noProof/>
            <w:webHidden/>
          </w:rPr>
          <w:fldChar w:fldCharType="end"/>
        </w:r>
      </w:hyperlink>
    </w:p>
    <w:p w14:paraId="7FB8AD04" w14:textId="2505ABD5" w:rsidR="002367EF" w:rsidRDefault="00463140">
      <w:pPr>
        <w:pStyle w:val="TOC3"/>
        <w:rPr>
          <w:rFonts w:asciiTheme="minorHAnsi" w:eastAsiaTheme="minorEastAsia" w:hAnsiTheme="minorHAnsi" w:cstheme="minorBidi"/>
          <w:noProof/>
          <w:sz w:val="22"/>
          <w:szCs w:val="22"/>
          <w:lang w:val="en-US"/>
        </w:rPr>
      </w:pPr>
      <w:hyperlink w:anchor="_Toc81831092" w:history="1">
        <w:r w:rsidR="002367EF" w:rsidRPr="00914E8E">
          <w:rPr>
            <w:rStyle w:val="Hyperlink"/>
            <w:noProof/>
          </w:rPr>
          <w:t>II.27.2 Obligation de conserver des documents</w:t>
        </w:r>
        <w:r w:rsidR="002367EF">
          <w:rPr>
            <w:noProof/>
            <w:webHidden/>
          </w:rPr>
          <w:tab/>
        </w:r>
        <w:r w:rsidR="002367EF">
          <w:rPr>
            <w:noProof/>
            <w:webHidden/>
          </w:rPr>
          <w:fldChar w:fldCharType="begin"/>
        </w:r>
        <w:r w:rsidR="002367EF">
          <w:rPr>
            <w:noProof/>
            <w:webHidden/>
          </w:rPr>
          <w:instrText xml:space="preserve"> PAGEREF _Toc81831092 \h </w:instrText>
        </w:r>
        <w:r w:rsidR="002367EF">
          <w:rPr>
            <w:noProof/>
            <w:webHidden/>
          </w:rPr>
        </w:r>
        <w:r w:rsidR="002367EF">
          <w:rPr>
            <w:noProof/>
            <w:webHidden/>
          </w:rPr>
          <w:fldChar w:fldCharType="separate"/>
        </w:r>
        <w:r w:rsidR="002367EF">
          <w:rPr>
            <w:noProof/>
            <w:webHidden/>
          </w:rPr>
          <w:t>34</w:t>
        </w:r>
        <w:r w:rsidR="002367EF">
          <w:rPr>
            <w:noProof/>
            <w:webHidden/>
          </w:rPr>
          <w:fldChar w:fldCharType="end"/>
        </w:r>
      </w:hyperlink>
    </w:p>
    <w:p w14:paraId="6AD26817" w14:textId="0C71204D" w:rsidR="002367EF" w:rsidRDefault="00463140">
      <w:pPr>
        <w:pStyle w:val="TOC3"/>
        <w:rPr>
          <w:rFonts w:asciiTheme="minorHAnsi" w:eastAsiaTheme="minorEastAsia" w:hAnsiTheme="minorHAnsi" w:cstheme="minorBidi"/>
          <w:noProof/>
          <w:sz w:val="22"/>
          <w:szCs w:val="22"/>
          <w:lang w:val="en-US"/>
        </w:rPr>
      </w:pPr>
      <w:hyperlink w:anchor="_Toc81831093" w:history="1">
        <w:r w:rsidR="002367EF" w:rsidRPr="00914E8E">
          <w:rPr>
            <w:rStyle w:val="Hyperlink"/>
            <w:noProof/>
          </w:rPr>
          <w:t>II.27.3 Obligation de fournir des informations</w:t>
        </w:r>
        <w:r w:rsidR="002367EF">
          <w:rPr>
            <w:noProof/>
            <w:webHidden/>
          </w:rPr>
          <w:tab/>
        </w:r>
        <w:r w:rsidR="002367EF">
          <w:rPr>
            <w:noProof/>
            <w:webHidden/>
          </w:rPr>
          <w:fldChar w:fldCharType="begin"/>
        </w:r>
        <w:r w:rsidR="002367EF">
          <w:rPr>
            <w:noProof/>
            <w:webHidden/>
          </w:rPr>
          <w:instrText xml:space="preserve"> PAGEREF _Toc81831093 \h </w:instrText>
        </w:r>
        <w:r w:rsidR="002367EF">
          <w:rPr>
            <w:noProof/>
            <w:webHidden/>
          </w:rPr>
        </w:r>
        <w:r w:rsidR="002367EF">
          <w:rPr>
            <w:noProof/>
            <w:webHidden/>
          </w:rPr>
          <w:fldChar w:fldCharType="separate"/>
        </w:r>
        <w:r w:rsidR="002367EF">
          <w:rPr>
            <w:noProof/>
            <w:webHidden/>
          </w:rPr>
          <w:t>34</w:t>
        </w:r>
        <w:r w:rsidR="002367EF">
          <w:rPr>
            <w:noProof/>
            <w:webHidden/>
          </w:rPr>
          <w:fldChar w:fldCharType="end"/>
        </w:r>
      </w:hyperlink>
    </w:p>
    <w:p w14:paraId="24F01B17" w14:textId="2AE7A409" w:rsidR="002367EF" w:rsidRDefault="00463140">
      <w:pPr>
        <w:pStyle w:val="TOC3"/>
        <w:rPr>
          <w:rFonts w:asciiTheme="minorHAnsi" w:eastAsiaTheme="minorEastAsia" w:hAnsiTheme="minorHAnsi" w:cstheme="minorBidi"/>
          <w:noProof/>
          <w:sz w:val="22"/>
          <w:szCs w:val="22"/>
          <w:lang w:val="en-US"/>
        </w:rPr>
      </w:pPr>
      <w:hyperlink w:anchor="_Toc81831094" w:history="1">
        <w:r w:rsidR="002367EF" w:rsidRPr="00914E8E">
          <w:rPr>
            <w:rStyle w:val="Hyperlink"/>
            <w:noProof/>
          </w:rPr>
          <w:t>II.27.4 Visites sur place</w:t>
        </w:r>
        <w:r w:rsidR="002367EF">
          <w:rPr>
            <w:noProof/>
            <w:webHidden/>
          </w:rPr>
          <w:tab/>
        </w:r>
        <w:r w:rsidR="002367EF">
          <w:rPr>
            <w:noProof/>
            <w:webHidden/>
          </w:rPr>
          <w:fldChar w:fldCharType="begin"/>
        </w:r>
        <w:r w:rsidR="002367EF">
          <w:rPr>
            <w:noProof/>
            <w:webHidden/>
          </w:rPr>
          <w:instrText xml:space="preserve"> PAGEREF _Toc81831094 \h </w:instrText>
        </w:r>
        <w:r w:rsidR="002367EF">
          <w:rPr>
            <w:noProof/>
            <w:webHidden/>
          </w:rPr>
        </w:r>
        <w:r w:rsidR="002367EF">
          <w:rPr>
            <w:noProof/>
            <w:webHidden/>
          </w:rPr>
          <w:fldChar w:fldCharType="separate"/>
        </w:r>
        <w:r w:rsidR="002367EF">
          <w:rPr>
            <w:noProof/>
            <w:webHidden/>
          </w:rPr>
          <w:t>35</w:t>
        </w:r>
        <w:r w:rsidR="002367EF">
          <w:rPr>
            <w:noProof/>
            <w:webHidden/>
          </w:rPr>
          <w:fldChar w:fldCharType="end"/>
        </w:r>
      </w:hyperlink>
    </w:p>
    <w:p w14:paraId="2A4C0804" w14:textId="487CBA70" w:rsidR="002367EF" w:rsidRDefault="00463140">
      <w:pPr>
        <w:pStyle w:val="TOC3"/>
        <w:rPr>
          <w:rFonts w:asciiTheme="minorHAnsi" w:eastAsiaTheme="minorEastAsia" w:hAnsiTheme="minorHAnsi" w:cstheme="minorBidi"/>
          <w:noProof/>
          <w:sz w:val="22"/>
          <w:szCs w:val="22"/>
          <w:lang w:val="en-US"/>
        </w:rPr>
      </w:pPr>
      <w:hyperlink w:anchor="_Toc81831095" w:history="1">
        <w:r w:rsidR="002367EF" w:rsidRPr="00914E8E">
          <w:rPr>
            <w:rStyle w:val="Hyperlink"/>
            <w:noProof/>
          </w:rPr>
          <w:t>II.27.5 Procédure d’audit contradictoire</w:t>
        </w:r>
        <w:r w:rsidR="002367EF">
          <w:rPr>
            <w:noProof/>
            <w:webHidden/>
          </w:rPr>
          <w:tab/>
        </w:r>
        <w:r w:rsidR="002367EF">
          <w:rPr>
            <w:noProof/>
            <w:webHidden/>
          </w:rPr>
          <w:fldChar w:fldCharType="begin"/>
        </w:r>
        <w:r w:rsidR="002367EF">
          <w:rPr>
            <w:noProof/>
            <w:webHidden/>
          </w:rPr>
          <w:instrText xml:space="preserve"> PAGEREF _Toc81831095 \h </w:instrText>
        </w:r>
        <w:r w:rsidR="002367EF">
          <w:rPr>
            <w:noProof/>
            <w:webHidden/>
          </w:rPr>
        </w:r>
        <w:r w:rsidR="002367EF">
          <w:rPr>
            <w:noProof/>
            <w:webHidden/>
          </w:rPr>
          <w:fldChar w:fldCharType="separate"/>
        </w:r>
        <w:r w:rsidR="002367EF">
          <w:rPr>
            <w:noProof/>
            <w:webHidden/>
          </w:rPr>
          <w:t>35</w:t>
        </w:r>
        <w:r w:rsidR="002367EF">
          <w:rPr>
            <w:noProof/>
            <w:webHidden/>
          </w:rPr>
          <w:fldChar w:fldCharType="end"/>
        </w:r>
      </w:hyperlink>
    </w:p>
    <w:p w14:paraId="41DC3FF2" w14:textId="6FE00C74" w:rsidR="002367EF" w:rsidRDefault="00463140">
      <w:pPr>
        <w:pStyle w:val="TOC3"/>
        <w:rPr>
          <w:rFonts w:asciiTheme="minorHAnsi" w:eastAsiaTheme="minorEastAsia" w:hAnsiTheme="minorHAnsi" w:cstheme="minorBidi"/>
          <w:noProof/>
          <w:sz w:val="22"/>
          <w:szCs w:val="22"/>
          <w:lang w:val="en-US"/>
        </w:rPr>
      </w:pPr>
      <w:hyperlink w:anchor="_Toc81831096" w:history="1">
        <w:r w:rsidR="002367EF" w:rsidRPr="00914E8E">
          <w:rPr>
            <w:rStyle w:val="Hyperlink"/>
            <w:noProof/>
          </w:rPr>
          <w:t>II.27.6 Effets des constatations issues de l’audit</w:t>
        </w:r>
        <w:r w:rsidR="002367EF">
          <w:rPr>
            <w:noProof/>
            <w:webHidden/>
          </w:rPr>
          <w:tab/>
        </w:r>
        <w:r w:rsidR="002367EF">
          <w:rPr>
            <w:noProof/>
            <w:webHidden/>
          </w:rPr>
          <w:fldChar w:fldCharType="begin"/>
        </w:r>
        <w:r w:rsidR="002367EF">
          <w:rPr>
            <w:noProof/>
            <w:webHidden/>
          </w:rPr>
          <w:instrText xml:space="preserve"> PAGEREF _Toc81831096 \h </w:instrText>
        </w:r>
        <w:r w:rsidR="002367EF">
          <w:rPr>
            <w:noProof/>
            <w:webHidden/>
          </w:rPr>
        </w:r>
        <w:r w:rsidR="002367EF">
          <w:rPr>
            <w:noProof/>
            <w:webHidden/>
          </w:rPr>
          <w:fldChar w:fldCharType="separate"/>
        </w:r>
        <w:r w:rsidR="002367EF">
          <w:rPr>
            <w:noProof/>
            <w:webHidden/>
          </w:rPr>
          <w:t>35</w:t>
        </w:r>
        <w:r w:rsidR="002367EF">
          <w:rPr>
            <w:noProof/>
            <w:webHidden/>
          </w:rPr>
          <w:fldChar w:fldCharType="end"/>
        </w:r>
      </w:hyperlink>
    </w:p>
    <w:p w14:paraId="398DED1F" w14:textId="78D4A0E9" w:rsidR="002367EF" w:rsidRDefault="00463140">
      <w:pPr>
        <w:pStyle w:val="TOC3"/>
        <w:rPr>
          <w:rFonts w:asciiTheme="minorHAnsi" w:eastAsiaTheme="minorEastAsia" w:hAnsiTheme="minorHAnsi" w:cstheme="minorBidi"/>
          <w:noProof/>
          <w:sz w:val="22"/>
          <w:szCs w:val="22"/>
          <w:lang w:val="en-US"/>
        </w:rPr>
      </w:pPr>
      <w:hyperlink w:anchor="_Toc81831097" w:history="1">
        <w:r w:rsidR="002367EF" w:rsidRPr="00914E8E">
          <w:rPr>
            <w:rStyle w:val="Hyperlink"/>
            <w:noProof/>
          </w:rPr>
          <w:t>II.27.7 Correction en cas d’irrégularités, de fraude ou de violation d’obligations systémiques ou récurrentes</w:t>
        </w:r>
        <w:r w:rsidR="002367EF">
          <w:rPr>
            <w:noProof/>
            <w:webHidden/>
          </w:rPr>
          <w:tab/>
        </w:r>
        <w:r w:rsidR="002367EF">
          <w:rPr>
            <w:noProof/>
            <w:webHidden/>
          </w:rPr>
          <w:fldChar w:fldCharType="begin"/>
        </w:r>
        <w:r w:rsidR="002367EF">
          <w:rPr>
            <w:noProof/>
            <w:webHidden/>
          </w:rPr>
          <w:instrText xml:space="preserve"> PAGEREF _Toc81831097 \h </w:instrText>
        </w:r>
        <w:r w:rsidR="002367EF">
          <w:rPr>
            <w:noProof/>
            <w:webHidden/>
          </w:rPr>
        </w:r>
        <w:r w:rsidR="002367EF">
          <w:rPr>
            <w:noProof/>
            <w:webHidden/>
          </w:rPr>
          <w:fldChar w:fldCharType="separate"/>
        </w:r>
        <w:r w:rsidR="002367EF">
          <w:rPr>
            <w:noProof/>
            <w:webHidden/>
          </w:rPr>
          <w:t>35</w:t>
        </w:r>
        <w:r w:rsidR="002367EF">
          <w:rPr>
            <w:noProof/>
            <w:webHidden/>
          </w:rPr>
          <w:fldChar w:fldCharType="end"/>
        </w:r>
      </w:hyperlink>
    </w:p>
    <w:p w14:paraId="14CE9FAC" w14:textId="354A7586" w:rsidR="002367EF" w:rsidRDefault="00463140">
      <w:pPr>
        <w:pStyle w:val="TOC3"/>
        <w:rPr>
          <w:rFonts w:asciiTheme="minorHAnsi" w:eastAsiaTheme="minorEastAsia" w:hAnsiTheme="minorHAnsi" w:cstheme="minorBidi"/>
          <w:noProof/>
          <w:sz w:val="22"/>
          <w:szCs w:val="22"/>
          <w:lang w:val="en-US"/>
        </w:rPr>
      </w:pPr>
      <w:hyperlink w:anchor="_Toc81831098" w:history="1">
        <w:r w:rsidR="002367EF" w:rsidRPr="00914E8E">
          <w:rPr>
            <w:rStyle w:val="Hyperlink"/>
            <w:noProof/>
          </w:rPr>
          <w:t>II.27.8 Droits de l’OLAF</w:t>
        </w:r>
        <w:r w:rsidR="002367EF">
          <w:rPr>
            <w:noProof/>
            <w:webHidden/>
          </w:rPr>
          <w:tab/>
        </w:r>
        <w:r w:rsidR="002367EF">
          <w:rPr>
            <w:noProof/>
            <w:webHidden/>
          </w:rPr>
          <w:fldChar w:fldCharType="begin"/>
        </w:r>
        <w:r w:rsidR="002367EF">
          <w:rPr>
            <w:noProof/>
            <w:webHidden/>
          </w:rPr>
          <w:instrText xml:space="preserve"> PAGEREF _Toc81831098 \h </w:instrText>
        </w:r>
        <w:r w:rsidR="002367EF">
          <w:rPr>
            <w:noProof/>
            <w:webHidden/>
          </w:rPr>
        </w:r>
        <w:r w:rsidR="002367EF">
          <w:rPr>
            <w:noProof/>
            <w:webHidden/>
          </w:rPr>
          <w:fldChar w:fldCharType="separate"/>
        </w:r>
        <w:r w:rsidR="002367EF">
          <w:rPr>
            <w:noProof/>
            <w:webHidden/>
          </w:rPr>
          <w:t>38</w:t>
        </w:r>
        <w:r w:rsidR="002367EF">
          <w:rPr>
            <w:noProof/>
            <w:webHidden/>
          </w:rPr>
          <w:fldChar w:fldCharType="end"/>
        </w:r>
      </w:hyperlink>
    </w:p>
    <w:p w14:paraId="55D0420E" w14:textId="4DFE7F18" w:rsidR="002367EF" w:rsidRDefault="00463140">
      <w:pPr>
        <w:pStyle w:val="TOC3"/>
        <w:tabs>
          <w:tab w:val="left" w:pos="2880"/>
        </w:tabs>
        <w:rPr>
          <w:rFonts w:asciiTheme="minorHAnsi" w:eastAsiaTheme="minorEastAsia" w:hAnsiTheme="minorHAnsi" w:cstheme="minorBidi"/>
          <w:noProof/>
          <w:sz w:val="22"/>
          <w:szCs w:val="22"/>
          <w:lang w:val="en-US"/>
        </w:rPr>
      </w:pPr>
      <w:hyperlink w:anchor="_Toc81831099" w:history="1">
        <w:r w:rsidR="002367EF" w:rsidRPr="00914E8E">
          <w:rPr>
            <w:rStyle w:val="Hyperlink"/>
            <w:noProof/>
          </w:rPr>
          <w:t>II.27.9</w:t>
        </w:r>
        <w:r w:rsidR="002367EF">
          <w:rPr>
            <w:rFonts w:asciiTheme="minorHAnsi" w:eastAsiaTheme="minorEastAsia" w:hAnsiTheme="minorHAnsi" w:cstheme="minorBidi"/>
            <w:noProof/>
            <w:sz w:val="22"/>
            <w:szCs w:val="22"/>
            <w:lang w:val="en-US"/>
          </w:rPr>
          <w:tab/>
        </w:r>
        <w:r w:rsidR="002367EF" w:rsidRPr="00914E8E">
          <w:rPr>
            <w:rStyle w:val="Hyperlink"/>
            <w:noProof/>
          </w:rPr>
          <w:t>Droits de la Cour des comptes européenne et du Parquet européen</w:t>
        </w:r>
        <w:r w:rsidR="002367EF">
          <w:rPr>
            <w:noProof/>
            <w:webHidden/>
          </w:rPr>
          <w:tab/>
        </w:r>
        <w:r w:rsidR="002367EF">
          <w:rPr>
            <w:noProof/>
            <w:webHidden/>
          </w:rPr>
          <w:fldChar w:fldCharType="begin"/>
        </w:r>
        <w:r w:rsidR="002367EF">
          <w:rPr>
            <w:noProof/>
            <w:webHidden/>
          </w:rPr>
          <w:instrText xml:space="preserve"> PAGEREF _Toc81831099 \h </w:instrText>
        </w:r>
        <w:r w:rsidR="002367EF">
          <w:rPr>
            <w:noProof/>
            <w:webHidden/>
          </w:rPr>
        </w:r>
        <w:r w:rsidR="002367EF">
          <w:rPr>
            <w:noProof/>
            <w:webHidden/>
          </w:rPr>
          <w:fldChar w:fldCharType="separate"/>
        </w:r>
        <w:r w:rsidR="002367EF">
          <w:rPr>
            <w:noProof/>
            <w:webHidden/>
          </w:rPr>
          <w:t>38</w:t>
        </w:r>
        <w:r w:rsidR="002367EF">
          <w:rPr>
            <w:noProof/>
            <w:webHidden/>
          </w:rPr>
          <w:fldChar w:fldCharType="end"/>
        </w:r>
      </w:hyperlink>
    </w:p>
    <w:p w14:paraId="3BBB89CD" w14:textId="26D3F3E8" w:rsidR="001721CC" w:rsidRPr="00D06D68" w:rsidRDefault="001721CC" w:rsidP="00797757">
      <w:pPr>
        <w:jc w:val="both"/>
        <w:rPr>
          <w:szCs w:val="24"/>
        </w:rPr>
      </w:pPr>
      <w:r>
        <w:rPr>
          <w:b/>
          <w:bCs/>
          <w:szCs w:val="24"/>
        </w:rPr>
        <w:fldChar w:fldCharType="end"/>
      </w:r>
    </w:p>
    <w:p w14:paraId="3BBB89CE" w14:textId="77777777" w:rsidR="007025BB" w:rsidRPr="00D06D68" w:rsidRDefault="007025BB" w:rsidP="00797757">
      <w:pPr>
        <w:spacing w:before="100" w:beforeAutospacing="1" w:after="100" w:afterAutospacing="1" w:line="240" w:lineRule="auto"/>
        <w:jc w:val="both"/>
        <w:rPr>
          <w:b/>
          <w:szCs w:val="24"/>
        </w:rPr>
      </w:pPr>
    </w:p>
    <w:p w14:paraId="3BBB89CF" w14:textId="0586C2AF" w:rsidR="00544C98" w:rsidRPr="001C2768" w:rsidRDefault="0008316D" w:rsidP="004F33E1">
      <w:pPr>
        <w:pStyle w:val="Heading1"/>
        <w:spacing w:before="100" w:beforeAutospacing="1" w:after="100" w:afterAutospacing="1"/>
        <w:rPr>
          <w:rFonts w:ascii="Times New Roman" w:hAnsi="Times New Roman"/>
        </w:rPr>
      </w:pPr>
      <w:r>
        <w:br w:type="column"/>
      </w:r>
      <w:bookmarkStart w:id="3" w:name="_Toc441250814"/>
      <w:bookmarkStart w:id="4" w:name="_Toc441509662"/>
      <w:bookmarkStart w:id="5" w:name="_Toc1637159"/>
      <w:bookmarkStart w:id="6" w:name="_Toc441250816"/>
      <w:r>
        <w:rPr>
          <w:rFonts w:ascii="Times New Roman" w:hAnsi="Times New Roman"/>
        </w:rPr>
        <w:t xml:space="preserve"> </w:t>
      </w:r>
    </w:p>
    <w:p w14:paraId="3BBB8B5B" w14:textId="490B013B" w:rsidR="00D30E81" w:rsidRPr="00D06D68" w:rsidRDefault="00D30E81" w:rsidP="00797757">
      <w:pPr>
        <w:pStyle w:val="Heading1"/>
        <w:spacing w:before="100" w:beforeAutospacing="1" w:after="100" w:afterAutospacing="1"/>
        <w:jc w:val="both"/>
        <w:rPr>
          <w:rFonts w:ascii="Times New Roman" w:hAnsi="Times New Roman"/>
        </w:rPr>
      </w:pPr>
      <w:bookmarkStart w:id="7" w:name="_Toc81831030"/>
      <w:bookmarkEnd w:id="3"/>
      <w:bookmarkEnd w:id="4"/>
      <w:bookmarkEnd w:id="5"/>
      <w:r>
        <w:rPr>
          <w:rFonts w:ascii="Times New Roman" w:hAnsi="Times New Roman"/>
        </w:rPr>
        <w:t>PARTIE A — DISPOSITIONS JURIDIQUES ET ADMINISTRATIVES</w:t>
      </w:r>
      <w:bookmarkEnd w:id="6"/>
      <w:bookmarkEnd w:id="7"/>
    </w:p>
    <w:p w14:paraId="3BBB8B5C" w14:textId="4366AAB4" w:rsidR="00D30E81" w:rsidRPr="00FE5E74" w:rsidRDefault="0063257E" w:rsidP="001C2768">
      <w:pPr>
        <w:pStyle w:val="Heading2"/>
      </w:pPr>
      <w:bookmarkStart w:id="8" w:name="_Toc441250817"/>
      <w:bookmarkStart w:id="9" w:name="_Toc81831031"/>
      <w:r>
        <w:t>ARTICLE II.1 – DÉFINITIONS</w:t>
      </w:r>
      <w:bookmarkEnd w:id="8"/>
      <w:bookmarkEnd w:id="9"/>
    </w:p>
    <w:p w14:paraId="3BBB8B5D" w14:textId="77777777" w:rsidR="00D30E81" w:rsidRPr="00D92B6C" w:rsidRDefault="00D30E81" w:rsidP="001C2768">
      <w:pPr>
        <w:spacing w:before="100" w:beforeAutospacing="1" w:after="100" w:afterAutospacing="1" w:line="240" w:lineRule="auto"/>
        <w:jc w:val="both"/>
        <w:rPr>
          <w:szCs w:val="24"/>
        </w:rPr>
      </w:pPr>
      <w:r>
        <w:t>Les définitions suivantes sont applicables aux fins de la convention:</w:t>
      </w:r>
    </w:p>
    <w:p w14:paraId="3BBB8B5E" w14:textId="3A85392A" w:rsidR="00D30E81" w:rsidRDefault="00D30E81" w:rsidP="00797757">
      <w:pPr>
        <w:spacing w:before="100" w:beforeAutospacing="1" w:after="100" w:afterAutospacing="1" w:line="240" w:lineRule="auto"/>
        <w:jc w:val="both"/>
        <w:rPr>
          <w:szCs w:val="24"/>
        </w:rPr>
      </w:pPr>
      <w:r>
        <w:rPr>
          <w:b/>
          <w:szCs w:val="24"/>
        </w:rPr>
        <w:t>«action»</w:t>
      </w:r>
      <w:r>
        <w:t>:</w:t>
      </w:r>
      <w:r>
        <w:rPr>
          <w:b/>
          <w:szCs w:val="24"/>
        </w:rPr>
        <w:t xml:space="preserve"> </w:t>
      </w:r>
      <w:r>
        <w:t>ensemble d’activités ou projet pour lequel la subvention est octroyée et dont la mise en œuvre est assurée par le bénéficiaire ainsi qu’il est décrit à l’annexe I;</w:t>
      </w:r>
    </w:p>
    <w:p w14:paraId="6ECAEF49" w14:textId="77777777" w:rsidR="003E5214" w:rsidRPr="004264AF" w:rsidRDefault="003E5214" w:rsidP="003E5214">
      <w:pPr>
        <w:spacing w:before="100" w:beforeAutospacing="1" w:after="100" w:afterAutospacing="1" w:line="240" w:lineRule="auto"/>
        <w:jc w:val="both"/>
        <w:rPr>
          <w:b/>
          <w:szCs w:val="24"/>
        </w:rPr>
      </w:pPr>
      <w:r>
        <w:rPr>
          <w:b/>
          <w:szCs w:val="24"/>
        </w:rPr>
        <w:t>«conflit d’intérêts»</w:t>
      </w:r>
      <w:r>
        <w:t>:</w:t>
      </w:r>
      <w:r>
        <w:rPr>
          <w:b/>
          <w:szCs w:val="24"/>
        </w:rPr>
        <w:t xml:space="preserve"> </w:t>
      </w:r>
      <w:r>
        <w:t>situation dans laquelle l’exécution impartiale et objective de la convention par le bénéficiaire est compromise pour des motifs familiaux, affectifs, d’affinité politique ou nationale, d’intérêt économique, pour tout autre intérêt personnel direct ou indirect ou pour tout autre motif de communauté d’intérêt avec la Commission ou un tiers en rapport avec l’objet de la convention;</w:t>
      </w:r>
    </w:p>
    <w:p w14:paraId="4F4566DB" w14:textId="77777777" w:rsidR="003E5214" w:rsidRDefault="003E5214" w:rsidP="003E5214">
      <w:pPr>
        <w:spacing w:before="100" w:beforeAutospacing="1" w:after="0" w:line="240" w:lineRule="auto"/>
        <w:jc w:val="both"/>
        <w:rPr>
          <w:szCs w:val="24"/>
        </w:rPr>
      </w:pPr>
      <w:r>
        <w:rPr>
          <w:b/>
          <w:szCs w:val="24"/>
        </w:rPr>
        <w:t>«contrat de sous-traitance»</w:t>
      </w:r>
      <w:r>
        <w:t>: contrat relatif à un marché au sens de l’article II.10, qui porte sur l’exécution par un tiers de tâches faisant partie de l’</w:t>
      </w:r>
      <w:r>
        <w:rPr>
          <w:i/>
          <w:szCs w:val="24"/>
        </w:rPr>
        <w:t>action</w:t>
      </w:r>
      <w:r>
        <w:t xml:space="preserve"> décrite à l’annexe II;</w:t>
      </w:r>
    </w:p>
    <w:p w14:paraId="2A386490" w14:textId="603458B1" w:rsidR="003E5214" w:rsidRPr="004264AF" w:rsidRDefault="003E5214" w:rsidP="003E5214">
      <w:pPr>
        <w:spacing w:before="100" w:beforeAutospacing="1" w:after="100" w:afterAutospacing="1" w:line="240" w:lineRule="auto"/>
        <w:jc w:val="both"/>
        <w:rPr>
          <w:szCs w:val="24"/>
        </w:rPr>
      </w:pPr>
      <w:r>
        <w:rPr>
          <w:b/>
          <w:szCs w:val="24"/>
        </w:rPr>
        <w:t>«coûts directs»</w:t>
      </w:r>
      <w:r>
        <w:t>: coûts spécifiques directement liés à l’exécution de l’</w:t>
      </w:r>
      <w:r>
        <w:rPr>
          <w:i/>
          <w:szCs w:val="24"/>
        </w:rPr>
        <w:t>action</w:t>
      </w:r>
      <w:r>
        <w:t xml:space="preserve"> et pouvant dès lors lui être directement attribués. Ils ne peuvent inclure aucun </w:t>
      </w:r>
      <w:r>
        <w:rPr>
          <w:i/>
          <w:szCs w:val="24"/>
        </w:rPr>
        <w:t>coût indirect</w:t>
      </w:r>
      <w:r>
        <w:t>;</w:t>
      </w:r>
    </w:p>
    <w:p w14:paraId="18315633" w14:textId="77777777" w:rsidR="003E5214" w:rsidRPr="004264AF" w:rsidRDefault="003E5214" w:rsidP="003E5214">
      <w:pPr>
        <w:spacing w:before="100" w:beforeAutospacing="1" w:after="100" w:afterAutospacing="1" w:line="240" w:lineRule="auto"/>
        <w:jc w:val="both"/>
        <w:rPr>
          <w:szCs w:val="24"/>
        </w:rPr>
      </w:pPr>
      <w:r>
        <w:rPr>
          <w:b/>
          <w:szCs w:val="24"/>
        </w:rPr>
        <w:t>«coûts indirects»</w:t>
      </w:r>
      <w:r>
        <w:t>: coûts qui ne sont pas des coûts spécifiques directement liés à l’exécution de l’</w:t>
      </w:r>
      <w:r>
        <w:rPr>
          <w:i/>
          <w:szCs w:val="24"/>
        </w:rPr>
        <w:t>action</w:t>
      </w:r>
      <w:r>
        <w:t xml:space="preserve"> et qui ne peuvent dès lors lui être directement attribués. Ils ne peuvent inclure aucun coût identifiable ou déclaré en tant que </w:t>
      </w:r>
      <w:r>
        <w:rPr>
          <w:i/>
          <w:szCs w:val="24"/>
        </w:rPr>
        <w:t>coût direct</w:t>
      </w:r>
      <w:r>
        <w:t xml:space="preserve"> éligible;</w:t>
      </w:r>
    </w:p>
    <w:p w14:paraId="7FB01B19" w14:textId="593EF01D" w:rsidR="003E5214" w:rsidRPr="004264AF" w:rsidRDefault="003E5214" w:rsidP="003E5214">
      <w:pPr>
        <w:spacing w:before="100" w:beforeAutospacing="1" w:after="100" w:afterAutospacing="1" w:line="240" w:lineRule="auto"/>
        <w:jc w:val="both"/>
        <w:rPr>
          <w:b/>
          <w:szCs w:val="24"/>
        </w:rPr>
      </w:pPr>
      <w:r>
        <w:rPr>
          <w:b/>
          <w:szCs w:val="24"/>
        </w:rPr>
        <w:t>«date de démarrage»</w:t>
      </w:r>
      <w:r>
        <w:t>: date de début de l’exécution de l’</w:t>
      </w:r>
      <w:r>
        <w:rPr>
          <w:i/>
          <w:szCs w:val="24"/>
        </w:rPr>
        <w:t>action</w:t>
      </w:r>
      <w:r>
        <w:t>, telle que prévue à l’article I.2.2;</w:t>
      </w:r>
    </w:p>
    <w:p w14:paraId="7B9E9620" w14:textId="77777777" w:rsidR="003E5214" w:rsidRPr="004264AF" w:rsidRDefault="003E5214" w:rsidP="003E5214">
      <w:pPr>
        <w:spacing w:before="100" w:beforeAutospacing="1" w:after="100" w:afterAutospacing="1" w:line="240" w:lineRule="auto"/>
        <w:jc w:val="both"/>
        <w:rPr>
          <w:b/>
          <w:szCs w:val="24"/>
        </w:rPr>
      </w:pPr>
      <w:r>
        <w:rPr>
          <w:b/>
          <w:szCs w:val="24"/>
        </w:rPr>
        <w:t>«droit préexistant»</w:t>
      </w:r>
      <w:r>
        <w:t xml:space="preserve">: tout droit de propriété industrielle et intellectuelle sur un </w:t>
      </w:r>
      <w:r>
        <w:rPr>
          <w:i/>
          <w:szCs w:val="24"/>
        </w:rPr>
        <w:t>matériel préexistant</w:t>
      </w:r>
      <w:r>
        <w:t>; il peut s’agir d’un droit de propriété, d’un droit de licence et/ou d’un droit d’utilisation appartenant au bénéficiaire ou à tout tiers;</w:t>
      </w:r>
    </w:p>
    <w:p w14:paraId="420B20B5" w14:textId="77777777" w:rsidR="003E5214" w:rsidRPr="00D92B6C" w:rsidRDefault="003E5214" w:rsidP="003E5214">
      <w:pPr>
        <w:spacing w:after="40" w:line="240" w:lineRule="auto"/>
        <w:jc w:val="both"/>
      </w:pPr>
      <w:r>
        <w:rPr>
          <w:b/>
        </w:rPr>
        <w:t>«faute professionnelle grave»</w:t>
      </w:r>
      <w:r>
        <w:t>:</w:t>
      </w:r>
      <w:r>
        <w:rPr>
          <w:b/>
        </w:rPr>
        <w:t xml:space="preserve"> </w:t>
      </w:r>
      <w:r>
        <w:t>violation des dispositions législatives ou réglementaires applicables ou des normes de déontologie de la profession à laquelle appartient une personne ou une entité, ou toute conduite fautive d’une personne ou d’une entité qui a une incidence sur sa crédibilité professionnelle, dès lors que cette conduite dénote une intention fautive ou une négligence grave;</w:t>
      </w:r>
    </w:p>
    <w:p w14:paraId="5A4855F3" w14:textId="1F52D081" w:rsidR="003E5214" w:rsidRPr="004264AF" w:rsidRDefault="003E5214" w:rsidP="003E5214">
      <w:pPr>
        <w:spacing w:before="100" w:beforeAutospacing="1" w:after="100" w:afterAutospacing="1" w:line="240" w:lineRule="auto"/>
        <w:jc w:val="both"/>
        <w:rPr>
          <w:szCs w:val="24"/>
        </w:rPr>
      </w:pPr>
      <w:r>
        <w:rPr>
          <w:b/>
          <w:szCs w:val="24"/>
        </w:rPr>
        <w:t>«force majeure»</w:t>
      </w:r>
      <w:r>
        <w:t xml:space="preserve">: toute situation ou tout événement imprévisible et exceptionnel, indépendant de la volonté des parties et non imputable à la faute ou à la négligence de l’une d’elles ou d’un sous-traitant, d’une entité affiliée ou d’un tiers ayant bénéficié d’un soutien financier, qui empêche l’une des parties d’exécuter une ou plusieurs de ses obligations découlant de la convention et qui se révèle inévitable en dépit de la diligence déployée. Les éléments suivants ne peuvent être invoqués comme cas de </w:t>
      </w:r>
      <w:r>
        <w:rPr>
          <w:i/>
          <w:szCs w:val="24"/>
        </w:rPr>
        <w:t>force majeure</w:t>
      </w:r>
      <w:r>
        <w:t xml:space="preserve">: conflits de travail, grèves, difficultés financières ou défaillance dans une prestation, défaut des équipements, du matériel ou des matériaux ou leur mise à disposition tardive, sauf si cette situation est la conséquence directe d’un cas de </w:t>
      </w:r>
      <w:r>
        <w:rPr>
          <w:i/>
          <w:szCs w:val="24"/>
        </w:rPr>
        <w:t>force majeure</w:t>
      </w:r>
      <w:r>
        <w:t xml:space="preserve"> établi;</w:t>
      </w:r>
      <w:r w:rsidRPr="003E5214">
        <w:rPr>
          <w:b/>
          <w:szCs w:val="24"/>
        </w:rPr>
        <w:t xml:space="preserve"> </w:t>
      </w:r>
    </w:p>
    <w:p w14:paraId="6CEAD14D" w14:textId="77777777" w:rsidR="003E5214" w:rsidRDefault="003E5214" w:rsidP="003E5214">
      <w:pPr>
        <w:spacing w:before="100" w:beforeAutospacing="1" w:after="100" w:afterAutospacing="1" w:line="240" w:lineRule="auto"/>
        <w:jc w:val="both"/>
      </w:pPr>
      <w:r>
        <w:rPr>
          <w:b/>
          <w:szCs w:val="24"/>
        </w:rPr>
        <w:t>«fraude»</w:t>
      </w:r>
      <w:r>
        <w:t>: tout acte ou omission se rapportant à l’utilisation ou à la présentation de déclarations ou de documents faux, inexacts ou incomplets, ayant pour effet le détournement ou la rétention indue de fonds ou d’avoirs provenant du budget de l’Union, à la non-communication d’une information en violation d’une obligation spécifique, ayant le même effet, ou au détournement de tels fonds ou avoirs à des fins autres que celles pour lesquelles ils ont été initialement accordés;</w:t>
      </w:r>
    </w:p>
    <w:p w14:paraId="7F81D252" w14:textId="77777777" w:rsidR="003E5214" w:rsidRPr="004264AF" w:rsidRDefault="003E5214" w:rsidP="003E5214">
      <w:pPr>
        <w:spacing w:before="100" w:beforeAutospacing="1" w:after="100" w:afterAutospacing="1" w:line="240" w:lineRule="auto"/>
        <w:jc w:val="both"/>
        <w:rPr>
          <w:szCs w:val="24"/>
        </w:rPr>
      </w:pPr>
      <w:r>
        <w:rPr>
          <w:b/>
          <w:szCs w:val="24"/>
        </w:rPr>
        <w:t>«information ou document confidentiel»</w:t>
      </w:r>
      <w:r>
        <w:t>: toute information ou tout document (sous quelque forme que ce soit) reçu par chaque partie de la part de l’autre partie, ou auquel chaque partie a accès dans le cadre de l’exécution de la convention, que l’une d’entre elles a désigné par écrit comme étant confidentiel. Les informations et documents confidentiels ne comprennent pas d’informations accessibles au public;</w:t>
      </w:r>
    </w:p>
    <w:p w14:paraId="5F18783C" w14:textId="13CC02B4" w:rsidR="003E5214" w:rsidRPr="004264AF" w:rsidRDefault="003E5214" w:rsidP="003E5214">
      <w:pPr>
        <w:spacing w:before="100" w:beforeAutospacing="1" w:after="100" w:afterAutospacing="1" w:line="240" w:lineRule="auto"/>
        <w:jc w:val="both"/>
        <w:rPr>
          <w:b/>
          <w:szCs w:val="24"/>
        </w:rPr>
      </w:pPr>
      <w:r>
        <w:rPr>
          <w:b/>
          <w:szCs w:val="24"/>
        </w:rPr>
        <w:t>«irrégularité»</w:t>
      </w:r>
      <w:r>
        <w:t>: toute violation d’une disposition du droit de l’Union résultant d’un acte ou d’une omission du bénéficiaire qui a ou aurait pour effet de porter préjudice au budget de l’Union;</w:t>
      </w:r>
    </w:p>
    <w:p w14:paraId="53AEA1E3" w14:textId="77777777" w:rsidR="003E5214" w:rsidRPr="004264AF" w:rsidRDefault="003E5214" w:rsidP="003E5214">
      <w:pPr>
        <w:spacing w:before="100" w:beforeAutospacing="1" w:after="100" w:afterAutospacing="1" w:line="240" w:lineRule="auto"/>
        <w:jc w:val="both"/>
        <w:rPr>
          <w:szCs w:val="24"/>
        </w:rPr>
      </w:pPr>
      <w:r>
        <w:rPr>
          <w:b/>
          <w:szCs w:val="24"/>
        </w:rPr>
        <w:t>«matériel préexistant»</w:t>
      </w:r>
      <w:r>
        <w:t>: tout matériel, document, technologie ou savoir-faire qui existe avant son utilisation par le bénéficiaire pour la production d’un résultat dans le cadre de l’exécution de l’action;</w:t>
      </w:r>
    </w:p>
    <w:p w14:paraId="6E71F75E" w14:textId="77777777" w:rsidR="003E5214" w:rsidRPr="004264AF" w:rsidRDefault="003E5214" w:rsidP="003E5214">
      <w:pPr>
        <w:spacing w:before="100" w:beforeAutospacing="1" w:after="100" w:afterAutospacing="1" w:line="240" w:lineRule="auto"/>
        <w:jc w:val="both"/>
        <w:rPr>
          <w:szCs w:val="24"/>
        </w:rPr>
      </w:pPr>
      <w:r>
        <w:rPr>
          <w:b/>
          <w:szCs w:val="24"/>
        </w:rPr>
        <w:t>«montant maximal de la subvention»</w:t>
      </w:r>
      <w:r>
        <w:t>: montant maximal de la contribution de l’UE à l’</w:t>
      </w:r>
      <w:r>
        <w:rPr>
          <w:i/>
          <w:szCs w:val="24"/>
        </w:rPr>
        <w:t>action</w:t>
      </w:r>
      <w:r>
        <w:t>, tel que défini à l’article I.3.1;</w:t>
      </w:r>
    </w:p>
    <w:p w14:paraId="0A9EDFBF" w14:textId="77777777" w:rsidR="003E5214" w:rsidRPr="004264AF" w:rsidRDefault="003E5214" w:rsidP="003E5214">
      <w:pPr>
        <w:pStyle w:val="ListParagraph"/>
        <w:spacing w:before="100" w:beforeAutospacing="1" w:after="100" w:afterAutospacing="1" w:line="240" w:lineRule="auto"/>
        <w:ind w:left="0"/>
        <w:contextualSpacing w:val="0"/>
        <w:jc w:val="both"/>
        <w:rPr>
          <w:szCs w:val="24"/>
        </w:rPr>
      </w:pPr>
      <w:r>
        <w:rPr>
          <w:b/>
          <w:szCs w:val="24"/>
        </w:rPr>
        <w:t>«notification formelle»</w:t>
      </w:r>
      <w:r>
        <w:t>: forme de communication entre les parties établie par écrit, par courrier postal ou par courrier électronique, qui fournit à l’expéditeur la preuve irréfutable que le message a été livré au destinataire spécifié;</w:t>
      </w:r>
    </w:p>
    <w:p w14:paraId="56176D50" w14:textId="77777777" w:rsidR="003E5214" w:rsidRPr="004264AF" w:rsidRDefault="003E5214" w:rsidP="003E5214">
      <w:pPr>
        <w:spacing w:before="100" w:beforeAutospacing="1" w:after="100" w:afterAutospacing="1" w:line="240" w:lineRule="auto"/>
        <w:jc w:val="both"/>
        <w:rPr>
          <w:b/>
          <w:szCs w:val="24"/>
        </w:rPr>
      </w:pPr>
      <w:r>
        <w:rPr>
          <w:b/>
          <w:szCs w:val="24"/>
        </w:rPr>
        <w:t>«période de mise en œuvre»</w:t>
      </w:r>
      <w:r>
        <w:t>: période au cours de laquelle sont mises en œuvre les activités faisant partie de l’</w:t>
      </w:r>
      <w:r>
        <w:rPr>
          <w:i/>
          <w:szCs w:val="24"/>
        </w:rPr>
        <w:t>action</w:t>
      </w:r>
      <w:r>
        <w:t>, telle que précisée à l’article I.2.2;</w:t>
      </w:r>
    </w:p>
    <w:p w14:paraId="5BC97153" w14:textId="361F34D7" w:rsidR="003E5214" w:rsidRPr="004264AF" w:rsidRDefault="003E5214" w:rsidP="003E5214">
      <w:pPr>
        <w:spacing w:before="100" w:beforeAutospacing="1" w:after="100" w:afterAutospacing="1" w:line="240" w:lineRule="auto"/>
        <w:jc w:val="both"/>
        <w:rPr>
          <w:color w:val="000000"/>
          <w:szCs w:val="24"/>
        </w:rPr>
      </w:pPr>
      <w:r>
        <w:rPr>
          <w:b/>
          <w:color w:val="000000"/>
          <w:szCs w:val="24"/>
        </w:rPr>
        <w:t>«personne liée»</w:t>
      </w:r>
      <w:r>
        <w:rPr>
          <w:color w:val="000000"/>
          <w:szCs w:val="24"/>
        </w:rPr>
        <w:t xml:space="preserve">: toute personne physique ou morale qui est membre de l’organe d’administration, de direction ou de surveillance du bénéficiaire ou qui possède des pouvoirs de représentation, de décision ou de contrôle à l’égard de ce bénéficiaire;  </w:t>
      </w:r>
    </w:p>
    <w:p w14:paraId="09429DB6" w14:textId="7E1BDD74" w:rsidR="00EF1984" w:rsidRPr="001C2768" w:rsidRDefault="00EF1984" w:rsidP="003E5214">
      <w:pPr>
        <w:spacing w:before="100" w:beforeAutospacing="1" w:after="100" w:afterAutospacing="1" w:line="240" w:lineRule="auto"/>
        <w:jc w:val="both"/>
        <w:rPr>
          <w:sz w:val="28"/>
          <w:szCs w:val="24"/>
        </w:rPr>
      </w:pPr>
      <w:r>
        <w:rPr>
          <w:b/>
        </w:rPr>
        <w:t>«violation d’obligations»</w:t>
      </w:r>
      <w:r>
        <w:t>:</w:t>
      </w:r>
      <w:r>
        <w:rPr>
          <w:b/>
        </w:rPr>
        <w:t xml:space="preserve"> </w:t>
      </w:r>
      <w:r>
        <w:t>non-exécution, par le bénéficiaire, d’une ou de plusieurs de ses obligations contractuelles.</w:t>
      </w:r>
    </w:p>
    <w:p w14:paraId="3BBB8B72" w14:textId="77777777" w:rsidR="00D30E81" w:rsidRPr="001C2768" w:rsidRDefault="00A73DA2" w:rsidP="00797757">
      <w:pPr>
        <w:pStyle w:val="Heading2"/>
        <w:spacing w:before="100" w:beforeAutospacing="1" w:after="100" w:afterAutospacing="1"/>
        <w:rPr>
          <w:rFonts w:ascii="Times New Roman" w:hAnsi="Times New Roman"/>
        </w:rPr>
      </w:pPr>
      <w:bookmarkStart w:id="10" w:name="_Toc441250818"/>
      <w:bookmarkStart w:id="11" w:name="_Toc81831032"/>
      <w:r>
        <w:rPr>
          <w:rFonts w:ascii="Times New Roman" w:hAnsi="Times New Roman"/>
        </w:rPr>
        <w:t>ARTICLE II.2 – OBLIGATIONS GÉNÉRALES DU BÉNÉFICIAIRE</w:t>
      </w:r>
      <w:bookmarkEnd w:id="10"/>
      <w:bookmarkEnd w:id="11"/>
    </w:p>
    <w:p w14:paraId="3BBB8B73" w14:textId="77777777" w:rsidR="00D30E81" w:rsidRPr="00D06D68" w:rsidRDefault="00D30E81" w:rsidP="001C2768">
      <w:pPr>
        <w:spacing w:after="0" w:line="240" w:lineRule="auto"/>
        <w:jc w:val="both"/>
        <w:rPr>
          <w:szCs w:val="24"/>
        </w:rPr>
      </w:pPr>
      <w:r>
        <w:t>Le bénéficiaire;</w:t>
      </w:r>
    </w:p>
    <w:p w14:paraId="3BBB8B75" w14:textId="77777777" w:rsidR="00D30E81" w:rsidRPr="004264AF" w:rsidRDefault="00D30E81" w:rsidP="001C2768">
      <w:pPr>
        <w:spacing w:after="0" w:line="240" w:lineRule="auto"/>
        <w:ind w:left="851" w:hanging="567"/>
        <w:jc w:val="both"/>
        <w:rPr>
          <w:szCs w:val="24"/>
        </w:rPr>
      </w:pPr>
      <w:r>
        <w:t>a)</w:t>
      </w:r>
      <w:r>
        <w:tab/>
        <w:t>est responsable de l’exécution de l’</w:t>
      </w:r>
      <w:r>
        <w:rPr>
          <w:i/>
          <w:szCs w:val="24"/>
        </w:rPr>
        <w:t>action</w:t>
      </w:r>
      <w:r>
        <w:t xml:space="preserve"> conformément à la convention;</w:t>
      </w:r>
    </w:p>
    <w:p w14:paraId="3BBB8B76" w14:textId="77777777" w:rsidR="00D30E81" w:rsidRPr="004264AF" w:rsidRDefault="00D30E81" w:rsidP="001C2768">
      <w:pPr>
        <w:spacing w:after="0" w:line="240" w:lineRule="auto"/>
        <w:ind w:left="851" w:hanging="567"/>
        <w:jc w:val="both"/>
        <w:rPr>
          <w:szCs w:val="24"/>
        </w:rPr>
      </w:pPr>
      <w:r>
        <w:t>b)</w:t>
      </w:r>
      <w:r>
        <w:tab/>
        <w:t>doit respecter toutes les obligations légales auxquelles il est tenu en vertu du droit national, du droit international et du droit de l’UE applicables;</w:t>
      </w:r>
    </w:p>
    <w:p w14:paraId="3BBB8B77" w14:textId="77777777" w:rsidR="00A63D2A" w:rsidRPr="00D06D68" w:rsidRDefault="00A63D2A" w:rsidP="001C2768">
      <w:pPr>
        <w:spacing w:after="0" w:line="240" w:lineRule="auto"/>
        <w:ind w:left="851" w:hanging="567"/>
        <w:jc w:val="both"/>
        <w:rPr>
          <w:szCs w:val="24"/>
        </w:rPr>
      </w:pPr>
      <w:r>
        <w:t>c)</w:t>
      </w:r>
      <w:r>
        <w:tab/>
        <w:t>doit informer immédiatement la Commission de tout événement ou circonstance dont il a connaissance et qui est susceptible d’affecter ou de retarder l’exécution de l’</w:t>
      </w:r>
      <w:r>
        <w:rPr>
          <w:i/>
          <w:szCs w:val="24"/>
        </w:rPr>
        <w:t>action</w:t>
      </w:r>
      <w:r>
        <w:t>;</w:t>
      </w:r>
    </w:p>
    <w:p w14:paraId="3BBB8B78" w14:textId="7DC62332" w:rsidR="008B5EB6" w:rsidRPr="00D06D68" w:rsidRDefault="00A63D2A" w:rsidP="001C2768">
      <w:pPr>
        <w:spacing w:after="0" w:line="240" w:lineRule="auto"/>
        <w:ind w:left="851" w:hanging="567"/>
        <w:jc w:val="both"/>
        <w:rPr>
          <w:szCs w:val="24"/>
        </w:rPr>
      </w:pPr>
      <w:r>
        <w:t>d)</w:t>
      </w:r>
      <w:r>
        <w:tab/>
        <w:t>doit informer immédiatement la Commission:</w:t>
      </w:r>
    </w:p>
    <w:p w14:paraId="3BBB8B79" w14:textId="598A972F" w:rsidR="008B5EB6" w:rsidRPr="004304E0" w:rsidRDefault="008B5EB6" w:rsidP="002A6FB7">
      <w:pPr>
        <w:pStyle w:val="ListParagraph"/>
        <w:numPr>
          <w:ilvl w:val="0"/>
          <w:numId w:val="64"/>
        </w:numPr>
        <w:spacing w:after="100" w:afterAutospacing="1" w:line="240" w:lineRule="auto"/>
        <w:jc w:val="both"/>
        <w:rPr>
          <w:rFonts w:eastAsia="Times New Roman"/>
          <w:szCs w:val="24"/>
        </w:rPr>
      </w:pPr>
      <w:r>
        <w:t>de tout changement juridique, financier, technique, d’organisation ou de contrôle dans sa situation, et de toute modification de sa dénomination, de son adresse ou de son représentant légal;</w:t>
      </w:r>
    </w:p>
    <w:p w14:paraId="3BBB8B7A" w14:textId="6A31E87B" w:rsidR="008B5EB6" w:rsidRDefault="008B5EB6" w:rsidP="002A6FB7">
      <w:pPr>
        <w:numPr>
          <w:ilvl w:val="0"/>
          <w:numId w:val="64"/>
        </w:numPr>
        <w:spacing w:before="100" w:beforeAutospacing="1" w:after="100" w:afterAutospacing="1" w:line="240" w:lineRule="auto"/>
        <w:ind w:left="1418" w:hanging="567"/>
        <w:jc w:val="both"/>
        <w:rPr>
          <w:rFonts w:eastAsia="Times New Roman"/>
          <w:szCs w:val="24"/>
        </w:rPr>
      </w:pPr>
      <w:r>
        <w:t>de tout changement juridique, financier, technique, d’organisation ou de contrôle dans la situation de ses entités affiliées, et de toute modification de leur dénomination, de leur adresse ou de leur représentant légal;</w:t>
      </w:r>
    </w:p>
    <w:p w14:paraId="14ABEEE2" w14:textId="293389C7" w:rsidR="006E45CF" w:rsidRPr="001C2768" w:rsidRDefault="00522AC0" w:rsidP="002A6FB7">
      <w:pPr>
        <w:numPr>
          <w:ilvl w:val="0"/>
          <w:numId w:val="64"/>
        </w:numPr>
        <w:spacing w:before="100" w:beforeAutospacing="1" w:after="100" w:afterAutospacing="1" w:line="240" w:lineRule="auto"/>
        <w:ind w:left="1418" w:hanging="567"/>
        <w:jc w:val="both"/>
        <w:rPr>
          <w:rFonts w:eastAsia="Times New Roman"/>
          <w:szCs w:val="24"/>
        </w:rPr>
      </w:pPr>
      <w:r>
        <w:t xml:space="preserve"> de tout changement se rapportant aux situations d’exclusion énumérées à l’article 136 du règlement (UE) 2018/1046, y compris en ce qui concerne ses entités affiliées.</w:t>
      </w:r>
    </w:p>
    <w:p w14:paraId="3BBB8B7C" w14:textId="77777777" w:rsidR="00D30E81" w:rsidRPr="001C2768" w:rsidRDefault="00A73DA2" w:rsidP="00797757">
      <w:pPr>
        <w:pStyle w:val="Heading2"/>
        <w:spacing w:before="100" w:beforeAutospacing="1" w:after="100" w:afterAutospacing="1"/>
        <w:rPr>
          <w:rFonts w:ascii="Times New Roman" w:hAnsi="Times New Roman"/>
        </w:rPr>
      </w:pPr>
      <w:bookmarkStart w:id="12" w:name="_Toc441250822"/>
      <w:bookmarkStart w:id="13" w:name="_Toc81831033"/>
      <w:r>
        <w:rPr>
          <w:rFonts w:ascii="Times New Roman" w:hAnsi="Times New Roman"/>
        </w:rPr>
        <w:t>ARTICLE II.3 – COMMUNICATION ENTRE LES PARTIES</w:t>
      </w:r>
      <w:bookmarkEnd w:id="12"/>
      <w:bookmarkEnd w:id="13"/>
    </w:p>
    <w:p w14:paraId="3BBB8B7E" w14:textId="77777777" w:rsidR="00D30E81" w:rsidRPr="00D06D68" w:rsidRDefault="005A7083" w:rsidP="00797757">
      <w:pPr>
        <w:pStyle w:val="Heading3"/>
        <w:spacing w:before="100" w:beforeAutospacing="1" w:after="100" w:afterAutospacing="1"/>
      </w:pPr>
      <w:bookmarkStart w:id="14" w:name="_Toc441250823"/>
      <w:bookmarkStart w:id="15" w:name="_Toc81831034"/>
      <w:r>
        <w:t>II.3.1 Forme et moyens de communication</w:t>
      </w:r>
      <w:bookmarkEnd w:id="14"/>
      <w:bookmarkEnd w:id="15"/>
    </w:p>
    <w:p w14:paraId="3BBB8B7F" w14:textId="4030F895" w:rsidR="00D30E81" w:rsidRPr="004264AF" w:rsidRDefault="00D30E81" w:rsidP="001C2768">
      <w:pPr>
        <w:spacing w:before="100" w:beforeAutospacing="1" w:after="0" w:line="240" w:lineRule="auto"/>
        <w:jc w:val="both"/>
        <w:rPr>
          <w:szCs w:val="24"/>
        </w:rPr>
      </w:pPr>
      <w:r>
        <w:t>Toute communication relative à la convention ou à son exécution, y compris la notification de décisions, de lettres, de documents ou d’informations se rapportant à des procédures administratives, doit:</w:t>
      </w:r>
    </w:p>
    <w:p w14:paraId="3BBB8B80" w14:textId="1DF88B68" w:rsidR="00D30E81" w:rsidRPr="004304E0" w:rsidRDefault="00D30E81" w:rsidP="002A6FB7">
      <w:pPr>
        <w:pStyle w:val="ListParagraph"/>
        <w:numPr>
          <w:ilvl w:val="0"/>
          <w:numId w:val="15"/>
        </w:numPr>
        <w:spacing w:before="100" w:beforeAutospacing="1" w:after="100" w:afterAutospacing="1" w:line="240" w:lineRule="auto"/>
        <w:jc w:val="both"/>
        <w:rPr>
          <w:szCs w:val="24"/>
        </w:rPr>
      </w:pPr>
      <w:r>
        <w:t>être établie par écrit (sur support papier ou sous forme électronique) dans la langue de la convention;</w:t>
      </w:r>
    </w:p>
    <w:p w14:paraId="3BBB8B81" w14:textId="77777777" w:rsidR="00D30E81" w:rsidRPr="004264AF" w:rsidRDefault="00D30E81" w:rsidP="002A6FB7">
      <w:pPr>
        <w:numPr>
          <w:ilvl w:val="0"/>
          <w:numId w:val="15"/>
        </w:numPr>
        <w:spacing w:before="100" w:beforeAutospacing="1" w:after="100" w:afterAutospacing="1" w:line="240" w:lineRule="auto"/>
        <w:jc w:val="both"/>
        <w:rPr>
          <w:szCs w:val="24"/>
        </w:rPr>
      </w:pPr>
      <w:r>
        <w:t>mentionner le numéro de la convention; et</w:t>
      </w:r>
    </w:p>
    <w:p w14:paraId="3BBB8B82" w14:textId="07F79450" w:rsidR="00D30E81" w:rsidRPr="004264AF" w:rsidRDefault="00D30E81" w:rsidP="002A6FB7">
      <w:pPr>
        <w:numPr>
          <w:ilvl w:val="0"/>
          <w:numId w:val="15"/>
        </w:numPr>
        <w:spacing w:before="100" w:beforeAutospacing="1" w:after="100" w:afterAutospacing="1" w:line="240" w:lineRule="auto"/>
        <w:jc w:val="both"/>
        <w:rPr>
          <w:szCs w:val="24"/>
        </w:rPr>
      </w:pPr>
      <w:r>
        <w:t>respecter les modalités de communication définies à l’article I.6.</w:t>
      </w:r>
    </w:p>
    <w:p w14:paraId="4492564E" w14:textId="2AF281AF" w:rsidR="00030FCD" w:rsidRDefault="00030FCD" w:rsidP="00797757">
      <w:pPr>
        <w:spacing w:before="100" w:beforeAutospacing="1" w:after="100" w:afterAutospacing="1" w:line="240" w:lineRule="auto"/>
        <w:jc w:val="both"/>
        <w:rPr>
          <w:szCs w:val="24"/>
        </w:rPr>
      </w:pPr>
      <w:r>
        <w:t xml:space="preserve">En particulier, les parties conviennent que toute </w:t>
      </w:r>
      <w:r>
        <w:rPr>
          <w:i/>
          <w:szCs w:val="24"/>
        </w:rPr>
        <w:t>notification formelle</w:t>
      </w:r>
      <w:r>
        <w:t xml:space="preserve"> par courrier ou courrier électronique produit tous ses effets juridiques et est recevable comme élément de preuve dans des procédures administratives ou judiciaires.</w:t>
      </w:r>
    </w:p>
    <w:p w14:paraId="3BBB8B83" w14:textId="3C0E14C6" w:rsidR="00D30E81" w:rsidRPr="004264AF" w:rsidRDefault="00D30E81" w:rsidP="00797757">
      <w:pPr>
        <w:spacing w:before="100" w:beforeAutospacing="1" w:after="100" w:afterAutospacing="1" w:line="240" w:lineRule="auto"/>
        <w:jc w:val="both"/>
        <w:rPr>
          <w:szCs w:val="24"/>
        </w:rPr>
      </w:pPr>
      <w:r>
        <w:t>Si une partie demande la confirmation écrite d’une communication électronique dans un délai raisonnable, l’expéditeur doit fournir le plus rapidement possible la version papier originale de cette communication.</w:t>
      </w:r>
    </w:p>
    <w:p w14:paraId="3BBB8B84" w14:textId="77777777" w:rsidR="00D30E81" w:rsidRPr="00D06D68" w:rsidRDefault="005A7083" w:rsidP="00797757">
      <w:pPr>
        <w:pStyle w:val="Heading3"/>
        <w:spacing w:before="100" w:beforeAutospacing="1" w:after="100" w:afterAutospacing="1"/>
      </w:pPr>
      <w:bookmarkStart w:id="16" w:name="_Toc441250824"/>
      <w:bookmarkStart w:id="17" w:name="_Toc81831035"/>
      <w:r>
        <w:t>II.3.2 Date des communications</w:t>
      </w:r>
      <w:bookmarkEnd w:id="16"/>
      <w:bookmarkEnd w:id="17"/>
    </w:p>
    <w:p w14:paraId="3BBB8B85" w14:textId="34371CB7" w:rsidR="00D30E81" w:rsidRPr="004264AF" w:rsidRDefault="00D30E81" w:rsidP="00797757">
      <w:pPr>
        <w:spacing w:before="100" w:beforeAutospacing="1" w:after="100" w:afterAutospacing="1" w:line="240" w:lineRule="auto"/>
        <w:jc w:val="both"/>
        <w:rPr>
          <w:szCs w:val="24"/>
        </w:rPr>
      </w:pPr>
      <w:r>
        <w:t>Toute communication est réputée effectuée au moment de sa réception par la partie destinataire, sauf si la convention prévoit que la communication est réputée effectuée à la date à laquelle celle-ci a été envoyée.</w:t>
      </w:r>
    </w:p>
    <w:p w14:paraId="3BBB8B86" w14:textId="60FA3430" w:rsidR="00D30E81" w:rsidRPr="004264AF" w:rsidRDefault="00BB52CD" w:rsidP="00797757">
      <w:pPr>
        <w:spacing w:before="100" w:beforeAutospacing="1" w:after="100" w:afterAutospacing="1" w:line="240" w:lineRule="auto"/>
        <w:jc w:val="both"/>
        <w:rPr>
          <w:szCs w:val="24"/>
        </w:rPr>
      </w:pPr>
      <w:r>
        <w:t>Tout courrier électronique est réputé reçu par la partie destinataire le jour de son envoi, pour autant qu’il soit transmis à l’adresse électronique mentionnée à l’article I.6. La partie expéditrice doit être en mesure de prouver la date d’envoi. Si elle reçoit une notification d’échec de remise, la partie expéditrice doit tout mettre en œuvre pour faire en sorte que l’autre partie reçoive effectivement la communication par courrier électronique ou par courrier postal. Dans ce cas, la partie expéditrice n’est pas considérée comme ayant manqué à son obligation d’envoyer la communication dans un délai spécifique.</w:t>
      </w:r>
    </w:p>
    <w:p w14:paraId="3BBB8B87" w14:textId="1481710E" w:rsidR="00D30E81" w:rsidRPr="004264AF" w:rsidRDefault="00D30E81" w:rsidP="00797757">
      <w:pPr>
        <w:spacing w:before="100" w:beforeAutospacing="1" w:after="100" w:afterAutospacing="1" w:line="240" w:lineRule="auto"/>
        <w:jc w:val="both"/>
        <w:rPr>
          <w:szCs w:val="24"/>
        </w:rPr>
      </w:pPr>
      <w:r>
        <w:t>Le courrier envoyé à la Commission par service postal ou par service de messagerie est réputé reçu par celle-ci à la date de son enregistrement par le service mentionné à l’article I.6.</w:t>
      </w:r>
    </w:p>
    <w:p w14:paraId="77EBF343" w14:textId="7ACE86D7" w:rsidR="00030FCD" w:rsidRDefault="00D30E81" w:rsidP="00BB52CD">
      <w:pPr>
        <w:spacing w:before="100" w:beforeAutospacing="1" w:after="100" w:afterAutospacing="1" w:line="240" w:lineRule="auto"/>
        <w:jc w:val="both"/>
        <w:rPr>
          <w:szCs w:val="24"/>
        </w:rPr>
      </w:pPr>
      <w:r>
        <w:t xml:space="preserve">Les </w:t>
      </w:r>
      <w:r>
        <w:rPr>
          <w:bCs/>
          <w:i/>
          <w:szCs w:val="24"/>
        </w:rPr>
        <w:t>notifications formelles</w:t>
      </w:r>
      <w:r>
        <w:t xml:space="preserve"> sont réputées reçues par le destinataire à la date de réception indiquée dans la preuve reçue par l’expéditeur selon laquelle le message a été transmis au destinataire spécifique.</w:t>
      </w:r>
    </w:p>
    <w:p w14:paraId="3BBB8B9C" w14:textId="77777777" w:rsidR="00D30E81" w:rsidRPr="001A04C2" w:rsidRDefault="00A73DA2" w:rsidP="00455B9B">
      <w:pPr>
        <w:pStyle w:val="Heading2"/>
        <w:keepNext/>
        <w:keepLines/>
        <w:widowControl w:val="0"/>
        <w:spacing w:before="100" w:beforeAutospacing="1" w:after="100" w:afterAutospacing="1"/>
      </w:pPr>
      <w:bookmarkStart w:id="18" w:name="_Toc441250827"/>
      <w:bookmarkStart w:id="19" w:name="_Toc81831036"/>
      <w:r>
        <w:t>ARTICLE II.4 – RESPONSABILITÉ DES DOMMAGES</w:t>
      </w:r>
      <w:bookmarkEnd w:id="18"/>
      <w:bookmarkEnd w:id="19"/>
    </w:p>
    <w:p w14:paraId="3BBB8B9D" w14:textId="77777777" w:rsidR="00D30E81" w:rsidRPr="004264AF" w:rsidRDefault="00D30E81" w:rsidP="00455B9B">
      <w:pPr>
        <w:keepNext/>
        <w:keepLines/>
        <w:widowControl w:val="0"/>
        <w:adjustRightInd w:val="0"/>
        <w:spacing w:before="100" w:beforeAutospacing="1" w:after="100" w:afterAutospacing="1" w:line="240" w:lineRule="auto"/>
        <w:ind w:left="709" w:hanging="709"/>
        <w:jc w:val="both"/>
        <w:rPr>
          <w:szCs w:val="24"/>
        </w:rPr>
      </w:pPr>
      <w:r>
        <w:rPr>
          <w:b/>
          <w:szCs w:val="24"/>
        </w:rPr>
        <w:t>II.4.1</w:t>
      </w:r>
      <w:r>
        <w:tab/>
        <w:t>La Commission ne peut être tenue pour responsable des dommages causés ou subis par le bénéficiaire, notamment de tout dommage causé à des tiers par le fait ou à l’occasion de l’exécution de l’</w:t>
      </w:r>
      <w:r>
        <w:rPr>
          <w:i/>
          <w:szCs w:val="24"/>
        </w:rPr>
        <w:t>action</w:t>
      </w:r>
      <w:r>
        <w:t>.</w:t>
      </w:r>
    </w:p>
    <w:p w14:paraId="3BBB8B9E" w14:textId="22B98411" w:rsidR="00D30E81" w:rsidRDefault="00D30E81" w:rsidP="00455B9B">
      <w:pPr>
        <w:keepNext/>
        <w:keepLines/>
        <w:widowControl w:val="0"/>
        <w:adjustRightInd w:val="0"/>
        <w:spacing w:before="100" w:beforeAutospacing="1" w:after="100" w:afterAutospacing="1" w:line="240" w:lineRule="auto"/>
        <w:ind w:left="709" w:hanging="709"/>
        <w:jc w:val="both"/>
        <w:rPr>
          <w:szCs w:val="24"/>
        </w:rPr>
      </w:pPr>
      <w:r>
        <w:rPr>
          <w:b/>
          <w:szCs w:val="24"/>
        </w:rPr>
        <w:t>II.4.2</w:t>
      </w:r>
      <w:r>
        <w:tab/>
        <w:t xml:space="preserve">Sauf en cas de </w:t>
      </w:r>
      <w:r>
        <w:rPr>
          <w:i/>
          <w:szCs w:val="24"/>
        </w:rPr>
        <w:t>force majeure</w:t>
      </w:r>
      <w:r>
        <w:t>, le bénéficiaire est tenu de réparer tout dommage qu’il a causé à la Commission du fait de l’exécution de l’</w:t>
      </w:r>
      <w:r>
        <w:rPr>
          <w:i/>
          <w:szCs w:val="24"/>
        </w:rPr>
        <w:t>action</w:t>
      </w:r>
      <w:r>
        <w:t xml:space="preserve"> ou parce que l’exécution de l’</w:t>
      </w:r>
      <w:r>
        <w:rPr>
          <w:i/>
          <w:szCs w:val="24"/>
        </w:rPr>
        <w:t>action</w:t>
      </w:r>
      <w:r>
        <w:t xml:space="preserve"> n’était pas pleinement conforme à la convention.</w:t>
      </w:r>
    </w:p>
    <w:p w14:paraId="3BBB8B9F" w14:textId="77777777" w:rsidR="00D30E81" w:rsidRPr="001A04C2" w:rsidRDefault="00A73DA2" w:rsidP="00797757">
      <w:pPr>
        <w:pStyle w:val="Heading2"/>
        <w:spacing w:before="100" w:beforeAutospacing="1" w:after="100" w:afterAutospacing="1"/>
      </w:pPr>
      <w:bookmarkStart w:id="20" w:name="_Toc441250828"/>
      <w:bookmarkStart w:id="21" w:name="_Toc81831037"/>
      <w:r>
        <w:t>ARTICLE II.5 – CONFLIT D’INTÉRÊTS</w:t>
      </w:r>
      <w:bookmarkEnd w:id="20"/>
      <w:bookmarkEnd w:id="21"/>
    </w:p>
    <w:p w14:paraId="3BBB8BA0" w14:textId="77777777" w:rsidR="00D30E81" w:rsidRPr="004264AF" w:rsidRDefault="00D30E81" w:rsidP="00797757">
      <w:pPr>
        <w:spacing w:before="100" w:beforeAutospacing="1" w:after="100" w:afterAutospacing="1" w:line="240" w:lineRule="auto"/>
        <w:ind w:left="720" w:hanging="720"/>
        <w:jc w:val="both"/>
        <w:rPr>
          <w:szCs w:val="24"/>
        </w:rPr>
      </w:pPr>
      <w:r>
        <w:rPr>
          <w:b/>
          <w:szCs w:val="24"/>
        </w:rPr>
        <w:t>II.5.1</w:t>
      </w:r>
      <w:r>
        <w:tab/>
        <w:t xml:space="preserve">Le bénéficiaire doit prendre toutes les mesures nécessaires pour prévenir toute situation de </w:t>
      </w:r>
      <w:r>
        <w:rPr>
          <w:i/>
          <w:szCs w:val="24"/>
        </w:rPr>
        <w:t>conflit d’intérêts</w:t>
      </w:r>
      <w:r>
        <w:t>.</w:t>
      </w:r>
    </w:p>
    <w:p w14:paraId="3BBB8BA1" w14:textId="77777777" w:rsidR="00D30E81" w:rsidRPr="004264AF" w:rsidRDefault="00D30E81" w:rsidP="00797757">
      <w:pPr>
        <w:spacing w:before="100" w:beforeAutospacing="1" w:after="100" w:afterAutospacing="1" w:line="240" w:lineRule="auto"/>
        <w:ind w:left="720" w:hanging="720"/>
        <w:jc w:val="both"/>
        <w:rPr>
          <w:szCs w:val="24"/>
        </w:rPr>
      </w:pPr>
      <w:r>
        <w:rPr>
          <w:b/>
          <w:szCs w:val="24"/>
        </w:rPr>
        <w:t>II.5.2</w:t>
      </w:r>
      <w:r>
        <w:tab/>
        <w:t xml:space="preserve">Le bénéficiaire doit informer sans tarder la Commission de toute situation constitutive d’un conflit d’intérêts ou susceptible de conduire à un </w:t>
      </w:r>
      <w:r>
        <w:rPr>
          <w:i/>
          <w:szCs w:val="24"/>
        </w:rPr>
        <w:t>conflit d’intérêts</w:t>
      </w:r>
      <w:r>
        <w:t>. Il doit prendre immédiatement toutes les mesures nécessaires pour remédier à cette situation.</w:t>
      </w:r>
    </w:p>
    <w:p w14:paraId="3BBB8BA2" w14:textId="7890A7D3" w:rsidR="00D30E81" w:rsidRDefault="00D30E81" w:rsidP="00797757">
      <w:pPr>
        <w:spacing w:before="100" w:beforeAutospacing="1" w:after="100" w:afterAutospacing="1" w:line="240" w:lineRule="auto"/>
        <w:ind w:left="720"/>
        <w:jc w:val="both"/>
        <w:rPr>
          <w:szCs w:val="24"/>
        </w:rPr>
      </w:pPr>
      <w:r>
        <w:t>La Commission peut vérifier que les mesures prises sont appropriées et peut exiger que des mesures complémentaires soient prises dans un délai précis.</w:t>
      </w:r>
    </w:p>
    <w:p w14:paraId="3BBB8BA3" w14:textId="77777777" w:rsidR="00D30E81" w:rsidRPr="001A04C2" w:rsidRDefault="00A73DA2" w:rsidP="00797757">
      <w:pPr>
        <w:pStyle w:val="Heading2"/>
        <w:spacing w:before="100" w:beforeAutospacing="1" w:after="100" w:afterAutospacing="1"/>
      </w:pPr>
      <w:bookmarkStart w:id="22" w:name="_Toc441250829"/>
      <w:bookmarkStart w:id="23" w:name="_Toc81831038"/>
      <w:r>
        <w:t>ARTICLE II.6 – CONFIDENTIALITÉ</w:t>
      </w:r>
      <w:bookmarkEnd w:id="22"/>
      <w:bookmarkEnd w:id="23"/>
    </w:p>
    <w:p w14:paraId="3BBB8BA4" w14:textId="77777777" w:rsidR="00D30E81" w:rsidRPr="004264AF" w:rsidRDefault="00D30E81" w:rsidP="00797757">
      <w:pPr>
        <w:spacing w:before="100" w:beforeAutospacing="1" w:after="100" w:afterAutospacing="1" w:line="240" w:lineRule="auto"/>
        <w:ind w:left="720" w:hanging="720"/>
        <w:jc w:val="both"/>
        <w:rPr>
          <w:szCs w:val="24"/>
        </w:rPr>
      </w:pPr>
      <w:r>
        <w:rPr>
          <w:b/>
          <w:szCs w:val="24"/>
        </w:rPr>
        <w:t>II.6.1</w:t>
      </w:r>
      <w:r>
        <w:tab/>
        <w:t>Au cours de l’exécution de l’</w:t>
      </w:r>
      <w:r>
        <w:rPr>
          <w:i/>
          <w:szCs w:val="24"/>
        </w:rPr>
        <w:t>action</w:t>
      </w:r>
      <w:r>
        <w:t xml:space="preserve"> et pendant une période de cinq ans après le versement du solde, les parties doivent traiter de manière confidentielle les </w:t>
      </w:r>
      <w:r>
        <w:rPr>
          <w:i/>
          <w:szCs w:val="24"/>
        </w:rPr>
        <w:t>informations et documents confidentiels</w:t>
      </w:r>
      <w:r>
        <w:t>.</w:t>
      </w:r>
    </w:p>
    <w:p w14:paraId="3BBB8BA5" w14:textId="77777777" w:rsidR="00D30E81" w:rsidRPr="004264AF" w:rsidRDefault="00D30E81" w:rsidP="00797757">
      <w:pPr>
        <w:spacing w:before="100" w:beforeAutospacing="1" w:after="100" w:afterAutospacing="1" w:line="240" w:lineRule="auto"/>
        <w:ind w:left="720" w:hanging="720"/>
        <w:jc w:val="both"/>
        <w:rPr>
          <w:szCs w:val="24"/>
        </w:rPr>
      </w:pPr>
      <w:r>
        <w:rPr>
          <w:b/>
          <w:szCs w:val="24"/>
        </w:rPr>
        <w:t>II.6.2</w:t>
      </w:r>
      <w:r>
        <w:tab/>
        <w:t xml:space="preserve">Les parties ne peuvent utiliser des </w:t>
      </w:r>
      <w:r>
        <w:rPr>
          <w:i/>
          <w:szCs w:val="24"/>
        </w:rPr>
        <w:t>informations et documents confidentiels</w:t>
      </w:r>
      <w:r>
        <w:t xml:space="preserve"> pour une raison autre que le respect des obligations qui leur incombent en vertu de la convention que si elles ont préalablement obtenu l’accord écrit de l’autre partie.</w:t>
      </w:r>
    </w:p>
    <w:p w14:paraId="3BBB8BA6" w14:textId="77777777" w:rsidR="00D30E81" w:rsidRPr="004264AF" w:rsidRDefault="00D30E81" w:rsidP="001C2768">
      <w:pPr>
        <w:spacing w:before="100" w:beforeAutospacing="1" w:after="0" w:line="240" w:lineRule="auto"/>
        <w:jc w:val="both"/>
        <w:rPr>
          <w:szCs w:val="24"/>
        </w:rPr>
      </w:pPr>
      <w:r>
        <w:rPr>
          <w:b/>
          <w:szCs w:val="24"/>
        </w:rPr>
        <w:t>II.6.3</w:t>
      </w:r>
      <w:r>
        <w:tab/>
        <w:t>Les obligations de confidentialité ne s’appliquent pas si:</w:t>
      </w:r>
    </w:p>
    <w:p w14:paraId="3BBB8BA7" w14:textId="1949A79B" w:rsidR="00D30E81" w:rsidRPr="00397B75" w:rsidRDefault="00D30E81" w:rsidP="002A6FB7">
      <w:pPr>
        <w:pStyle w:val="ListParagraph"/>
        <w:numPr>
          <w:ilvl w:val="0"/>
          <w:numId w:val="16"/>
        </w:numPr>
        <w:spacing w:after="100" w:afterAutospacing="1" w:line="240" w:lineRule="auto"/>
        <w:ind w:firstLine="131"/>
        <w:jc w:val="both"/>
        <w:rPr>
          <w:szCs w:val="24"/>
        </w:rPr>
      </w:pPr>
      <w:r>
        <w:t>la partie concernée accepte de libérer l’autre partie de ces obligations;</w:t>
      </w:r>
    </w:p>
    <w:p w14:paraId="3BBB8BA8" w14:textId="77777777" w:rsidR="00D30E81" w:rsidRPr="004264AF" w:rsidRDefault="00D30E81" w:rsidP="002A6FB7">
      <w:pPr>
        <w:numPr>
          <w:ilvl w:val="0"/>
          <w:numId w:val="16"/>
        </w:numPr>
        <w:spacing w:before="100" w:beforeAutospacing="1" w:after="100" w:afterAutospacing="1" w:line="240" w:lineRule="auto"/>
        <w:ind w:left="1418" w:hanging="567"/>
        <w:jc w:val="both"/>
        <w:rPr>
          <w:szCs w:val="24"/>
        </w:rPr>
      </w:pPr>
      <w:r>
        <w:t xml:space="preserve">les </w:t>
      </w:r>
      <w:r>
        <w:rPr>
          <w:i/>
          <w:szCs w:val="24"/>
        </w:rPr>
        <w:t>informations ou documents confidentiels</w:t>
      </w:r>
      <w:r>
        <w:t xml:space="preserve"> deviennent publics par d’autres moyens qu’une violation des obligations de confidentialité;</w:t>
      </w:r>
    </w:p>
    <w:p w14:paraId="3BBB8BA9" w14:textId="77777777" w:rsidR="00D30E81" w:rsidRPr="004264AF" w:rsidRDefault="00D30E81" w:rsidP="002A6FB7">
      <w:pPr>
        <w:numPr>
          <w:ilvl w:val="0"/>
          <w:numId w:val="16"/>
        </w:numPr>
        <w:spacing w:before="100" w:beforeAutospacing="1" w:after="100" w:afterAutospacing="1" w:line="240" w:lineRule="auto"/>
        <w:ind w:left="1418" w:hanging="567"/>
        <w:jc w:val="both"/>
        <w:rPr>
          <w:szCs w:val="24"/>
        </w:rPr>
      </w:pPr>
      <w:r>
        <w:t xml:space="preserve">la divulgation des </w:t>
      </w:r>
      <w:r>
        <w:rPr>
          <w:i/>
          <w:szCs w:val="24"/>
        </w:rPr>
        <w:t>informations ou documents confidentiels</w:t>
      </w:r>
      <w:r>
        <w:t xml:space="preserve"> est exigée par la loi.</w:t>
      </w:r>
    </w:p>
    <w:p w14:paraId="3BBB8BAA" w14:textId="271DF54D" w:rsidR="00D30E81" w:rsidRPr="001A04C2" w:rsidRDefault="00A73DA2" w:rsidP="00797757">
      <w:pPr>
        <w:pStyle w:val="Heading2"/>
        <w:spacing w:before="100" w:beforeAutospacing="1" w:after="100" w:afterAutospacing="1"/>
      </w:pPr>
      <w:bookmarkStart w:id="24" w:name="_Toc441250830"/>
      <w:bookmarkStart w:id="25" w:name="_Toc81831039"/>
      <w:r>
        <w:t>ARTICLE II.7 – TRAITEMENT DES DONNÉES À CARACTÈRE PERSONNEL</w:t>
      </w:r>
      <w:bookmarkEnd w:id="24"/>
      <w:bookmarkEnd w:id="25"/>
    </w:p>
    <w:p w14:paraId="3BBB8BAB" w14:textId="77777777" w:rsidR="00D30E81" w:rsidRPr="00D06D68" w:rsidRDefault="00D30E81" w:rsidP="00797757">
      <w:pPr>
        <w:pStyle w:val="Heading3"/>
        <w:spacing w:before="100" w:beforeAutospacing="1" w:after="100" w:afterAutospacing="1"/>
      </w:pPr>
      <w:bookmarkStart w:id="26" w:name="_Toc441250831"/>
      <w:bookmarkStart w:id="27" w:name="_Toc81831040"/>
      <w:r>
        <w:t>II.7.1</w:t>
      </w:r>
      <w:r>
        <w:tab/>
        <w:t>Traitement des données à caractère personnel par la Commission</w:t>
      </w:r>
      <w:bookmarkEnd w:id="26"/>
      <w:bookmarkEnd w:id="27"/>
    </w:p>
    <w:p w14:paraId="3BBB8BAC" w14:textId="75E8F627" w:rsidR="00D30E81" w:rsidRPr="004264AF" w:rsidRDefault="00D30E81" w:rsidP="00797757">
      <w:pPr>
        <w:spacing w:before="100" w:beforeAutospacing="1" w:after="100" w:afterAutospacing="1" w:line="240" w:lineRule="auto"/>
        <w:jc w:val="both"/>
        <w:rPr>
          <w:szCs w:val="24"/>
        </w:rPr>
      </w:pPr>
      <w:r>
        <w:t>Les données à caractère personnel figurant dans la convention doivent être traitées par la Commission conformément au règlement (UE) 2018/1725</w:t>
      </w:r>
      <w:r>
        <w:rPr>
          <w:rStyle w:val="FootnoteReference"/>
          <w:szCs w:val="24"/>
        </w:rPr>
        <w:footnoteReference w:id="1"/>
      </w:r>
      <w:r>
        <w:t>.</w:t>
      </w:r>
    </w:p>
    <w:p w14:paraId="3BBB8BAD" w14:textId="0B2BDB93" w:rsidR="00D30E81" w:rsidRPr="004264AF" w:rsidRDefault="00D30E81" w:rsidP="00797757">
      <w:pPr>
        <w:spacing w:before="100" w:beforeAutospacing="1" w:after="100" w:afterAutospacing="1" w:line="240" w:lineRule="auto"/>
        <w:jc w:val="both"/>
        <w:rPr>
          <w:color w:val="000000"/>
          <w:szCs w:val="24"/>
        </w:rPr>
      </w:pPr>
      <w:r>
        <w:t>Ces données ne doivent être traitées par le responsable du traitement des données désigné à l’article I.6 qu’aux fins de l’exécution, de la gestion et du suivi de la convention ou pour protéger les intérêts financiers de l’UE, y compris par des contrôles, audits et enquêtes conformément à l’article II.27.</w:t>
      </w:r>
    </w:p>
    <w:p w14:paraId="3BBB8BAE" w14:textId="2C933BA5" w:rsidR="00D30E81" w:rsidRPr="00D06D68" w:rsidRDefault="00D30E81" w:rsidP="00797757">
      <w:pPr>
        <w:spacing w:before="100" w:beforeAutospacing="1" w:after="100" w:afterAutospacing="1" w:line="240" w:lineRule="auto"/>
        <w:jc w:val="both"/>
        <w:rPr>
          <w:szCs w:val="24"/>
        </w:rPr>
      </w:pPr>
      <w:r>
        <w:t xml:space="preserve">Le bénéficiaire dispose du droit d’accéder à ses propres données à caractère personnel, </w:t>
      </w:r>
      <w:r>
        <w:rPr>
          <w:szCs w:val="24"/>
        </w:rPr>
        <w:t>de les rectifier ou de les effacer et du droit de limiter le traitement de ces données ou, le cas échéant, de s’y opposer ou du droit à la portabilité des données, conformément au règlement (UE) 2018/1725.</w:t>
      </w:r>
      <w:r>
        <w:rPr>
          <w:color w:val="000000"/>
          <w:szCs w:val="24"/>
        </w:rPr>
        <w:t xml:space="preserve"> À cette fin, il doit adresser ses demandes concernant le traitement de ses données à caractère personnel au responsable du traitement des données désigné à l’article I.6.</w:t>
      </w:r>
    </w:p>
    <w:p w14:paraId="3BBB8BAF" w14:textId="77777777" w:rsidR="00D30E81" w:rsidRPr="00D06D68" w:rsidRDefault="00D30E81" w:rsidP="00797757">
      <w:pPr>
        <w:spacing w:before="100" w:beforeAutospacing="1" w:after="100" w:afterAutospacing="1" w:line="240" w:lineRule="auto"/>
        <w:jc w:val="both"/>
        <w:rPr>
          <w:szCs w:val="24"/>
        </w:rPr>
      </w:pPr>
      <w:r>
        <w:t>Le bénéficiaire peut saisir à tout moment le Contrôleur européen de la protection des données.</w:t>
      </w:r>
    </w:p>
    <w:p w14:paraId="3BBB8BB0" w14:textId="77777777" w:rsidR="00D30E81" w:rsidRPr="00D06D68" w:rsidRDefault="00D30E81" w:rsidP="00797757">
      <w:pPr>
        <w:pStyle w:val="Heading3"/>
        <w:spacing w:before="100" w:beforeAutospacing="1" w:after="100" w:afterAutospacing="1"/>
      </w:pPr>
      <w:bookmarkStart w:id="28" w:name="_Toc81831041"/>
      <w:r>
        <w:t>II.7.2</w:t>
      </w:r>
      <w:r>
        <w:tab/>
      </w:r>
      <w:bookmarkStart w:id="29" w:name="_Toc441250832"/>
      <w:r>
        <w:t>Traitement des données à caractère personnel par le</w:t>
      </w:r>
      <w:bookmarkEnd w:id="29"/>
      <w:r>
        <w:t xml:space="preserve"> bénéficiaire</w:t>
      </w:r>
      <w:bookmarkEnd w:id="28"/>
    </w:p>
    <w:p w14:paraId="3BBB8BB1" w14:textId="77777777" w:rsidR="00D30E81" w:rsidRPr="004264AF" w:rsidRDefault="00D30E81" w:rsidP="00797757">
      <w:pPr>
        <w:spacing w:before="100" w:beforeAutospacing="1" w:after="100" w:afterAutospacing="1" w:line="240" w:lineRule="auto"/>
        <w:jc w:val="both"/>
        <w:rPr>
          <w:szCs w:val="24"/>
        </w:rPr>
      </w:pPr>
      <w:r>
        <w:t>Le bénéficiaire doit traiter les données à caractère personnel relevant de la convention conformément à la législation de l’UE et nationale applicable relative à la protection des données (y compris aux exigences en matière d’autorisation ou de notification).</w:t>
      </w:r>
    </w:p>
    <w:p w14:paraId="3BBB8BB2" w14:textId="20CF4E19" w:rsidR="00D30E81" w:rsidRDefault="00D30E81" w:rsidP="0013424F">
      <w:pPr>
        <w:spacing w:before="100" w:beforeAutospacing="1" w:after="0" w:line="240" w:lineRule="auto"/>
        <w:jc w:val="both"/>
      </w:pPr>
      <w:r>
        <w:t>Le bénéficiaire ne peut donner à son personnel que l’accès aux données strictement nécessaires à l’exécution, à la gestion et au suivi de la convention. Le bénéficiaire doit veiller à ce que le personnel autorisé à traiter les données à caractère personnel s’engage à respecter la confidentialité ou soit soumis à une obligation légale de confidentialité.</w:t>
      </w:r>
    </w:p>
    <w:p w14:paraId="3BBB8BB3" w14:textId="00758DDB" w:rsidR="00D30E81" w:rsidRDefault="00D30E81" w:rsidP="0013424F">
      <w:pPr>
        <w:spacing w:before="100" w:beforeAutospacing="1" w:after="0" w:line="240" w:lineRule="auto"/>
        <w:jc w:val="both"/>
        <w:rPr>
          <w:szCs w:val="24"/>
        </w:rPr>
      </w:pPr>
      <w:r>
        <w:t>Le bénéficiaire doit adopter des mesures de sécurité d’ordre technique et organisationnel appropriées, eu égard aux risques inhérents au traitement et à la nature, à la portée, au contexte et aux finalités du traitement des données à caractère personnel concernées. Il s’agit ainsi de garantir, le cas échéant:</w:t>
      </w:r>
    </w:p>
    <w:p w14:paraId="68FC2D9E" w14:textId="77777777" w:rsidR="008203F2" w:rsidRPr="001C2768" w:rsidRDefault="008203F2" w:rsidP="001C2768">
      <w:pPr>
        <w:spacing w:after="0"/>
        <w:rPr>
          <w:szCs w:val="24"/>
        </w:rPr>
      </w:pPr>
    </w:p>
    <w:p w14:paraId="7ABEF93D" w14:textId="4C3569A7" w:rsidR="00BE76FA" w:rsidRDefault="00BE76FA" w:rsidP="002A6FB7">
      <w:pPr>
        <w:pStyle w:val="ListParagraph"/>
        <w:numPr>
          <w:ilvl w:val="0"/>
          <w:numId w:val="73"/>
        </w:numPr>
        <w:spacing w:after="0" w:line="240" w:lineRule="auto"/>
        <w:jc w:val="both"/>
      </w:pPr>
      <w:r>
        <w:t>la pseudonymisation et le chiffrement des données à caractère personnel;</w:t>
      </w:r>
    </w:p>
    <w:p w14:paraId="2D6EEC61" w14:textId="77777777" w:rsidR="008203F2" w:rsidRPr="00345713" w:rsidRDefault="008203F2" w:rsidP="001C2768">
      <w:pPr>
        <w:spacing w:after="0" w:line="240" w:lineRule="auto"/>
        <w:ind w:left="720"/>
        <w:jc w:val="both"/>
      </w:pPr>
    </w:p>
    <w:p w14:paraId="6204C25B" w14:textId="6B3C8A5F" w:rsidR="00BE76FA" w:rsidRDefault="00BE76FA" w:rsidP="002A6FB7">
      <w:pPr>
        <w:numPr>
          <w:ilvl w:val="0"/>
          <w:numId w:val="73"/>
        </w:numPr>
        <w:spacing w:after="0" w:line="240" w:lineRule="auto"/>
        <w:jc w:val="both"/>
      </w:pPr>
      <w:r>
        <w:t>des moyens permettant de garantir la confidentialité, l’intégrité, la disponibilité et la résilience constantes des systèmes et des services de traitement;</w:t>
      </w:r>
    </w:p>
    <w:p w14:paraId="136F00E2" w14:textId="77777777" w:rsidR="008203F2" w:rsidRDefault="008203F2" w:rsidP="001C2768">
      <w:pPr>
        <w:spacing w:after="0" w:line="240" w:lineRule="auto"/>
        <w:ind w:left="720"/>
        <w:jc w:val="both"/>
      </w:pPr>
    </w:p>
    <w:p w14:paraId="5A0EEF59" w14:textId="35CB9276" w:rsidR="00BE76FA" w:rsidRDefault="00BE76FA" w:rsidP="002A6FB7">
      <w:pPr>
        <w:numPr>
          <w:ilvl w:val="0"/>
          <w:numId w:val="73"/>
        </w:numPr>
        <w:spacing w:after="0" w:line="240" w:lineRule="auto"/>
        <w:jc w:val="both"/>
      </w:pPr>
      <w:r>
        <w:t>des moyens permettant de rétablir la disponibilité des données à caractère personnel et l’accès à celles-ci dans des délais appropriés en cas d’incident physique ou technique;</w:t>
      </w:r>
    </w:p>
    <w:p w14:paraId="2481A80F" w14:textId="77777777" w:rsidR="008203F2" w:rsidRPr="001C2768" w:rsidRDefault="008203F2" w:rsidP="001C2768">
      <w:pPr>
        <w:spacing w:after="0" w:line="240" w:lineRule="auto"/>
        <w:ind w:left="720"/>
        <w:jc w:val="both"/>
      </w:pPr>
    </w:p>
    <w:p w14:paraId="676D3576" w14:textId="77777777" w:rsidR="00347E55" w:rsidRDefault="00BE76FA" w:rsidP="002A6FB7">
      <w:pPr>
        <w:pStyle w:val="ListParagraph"/>
        <w:numPr>
          <w:ilvl w:val="0"/>
          <w:numId w:val="73"/>
        </w:numPr>
        <w:spacing w:after="0"/>
        <w:jc w:val="both"/>
      </w:pPr>
      <w:r>
        <w:t>une procédure visant à tester, à analyser et à évaluer régulièrement l’efficacité des mesures techniques et organisationnelles pour assurer la sécurité du traitement;</w:t>
      </w:r>
    </w:p>
    <w:p w14:paraId="1C634E85" w14:textId="77777777" w:rsidR="002C5FCC" w:rsidRPr="003E5214" w:rsidRDefault="002C5FCC" w:rsidP="002C5FCC">
      <w:pPr>
        <w:pStyle w:val="ListParagraph"/>
        <w:spacing w:after="0"/>
        <w:rPr>
          <w:lang w:val="fr-BE"/>
        </w:rPr>
      </w:pPr>
    </w:p>
    <w:p w14:paraId="33B63250" w14:textId="758F7AB4" w:rsidR="002C5FCC" w:rsidRPr="001C2768" w:rsidRDefault="002C5FCC" w:rsidP="002A6FB7">
      <w:pPr>
        <w:pStyle w:val="ListParagraph"/>
        <w:numPr>
          <w:ilvl w:val="0"/>
          <w:numId w:val="73"/>
        </w:numPr>
        <w:spacing w:after="0"/>
        <w:jc w:val="both"/>
      </w:pPr>
      <w:r>
        <w:t>des mesures visant à protéger les données à caractère personnel contre la destruction, la perte, l’altération, la divulgation non autorisée de données à caractère personnel transmises, conservées ou traitées d’une autre manière, ou l’accès non autorisé à de telles données, d’origine accidentelle ou illicite.</w:t>
      </w:r>
    </w:p>
    <w:p w14:paraId="3BBB8BBD" w14:textId="1BF13CD1" w:rsidR="00D30E81" w:rsidRPr="001A04C2" w:rsidRDefault="00351830" w:rsidP="00797757">
      <w:pPr>
        <w:pStyle w:val="Heading2"/>
        <w:spacing w:before="100" w:beforeAutospacing="1" w:after="100" w:afterAutospacing="1"/>
      </w:pPr>
      <w:bookmarkStart w:id="30" w:name="_Toc441250833"/>
      <w:bookmarkStart w:id="31" w:name="_Toc81831042"/>
      <w:r>
        <w:t>ARTICLE II.8 – VISIBILITÉ DU FINANCEMENT PAR L’UNION</w:t>
      </w:r>
      <w:bookmarkEnd w:id="30"/>
      <w:bookmarkEnd w:id="31"/>
    </w:p>
    <w:p w14:paraId="3BBB8BBE" w14:textId="77777777" w:rsidR="00D30E81" w:rsidRPr="00D06D68" w:rsidRDefault="00D30E81" w:rsidP="00797757">
      <w:pPr>
        <w:pStyle w:val="Heading3"/>
        <w:spacing w:before="100" w:beforeAutospacing="1" w:after="100" w:afterAutospacing="1"/>
      </w:pPr>
      <w:bookmarkStart w:id="32" w:name="_Toc441250834"/>
      <w:bookmarkStart w:id="33" w:name="_Toc81831043"/>
      <w:r>
        <w:t>II.8.1</w:t>
      </w:r>
      <w:r>
        <w:tab/>
        <w:t>Informations relatives au financement par l’Union et utilisation de l’emblème de l’UE</w:t>
      </w:r>
      <w:bookmarkEnd w:id="32"/>
      <w:bookmarkEnd w:id="33"/>
    </w:p>
    <w:p w14:paraId="3BBB8BBF" w14:textId="77777777" w:rsidR="00D30E81" w:rsidRPr="004264AF" w:rsidRDefault="00D30E81" w:rsidP="001C2768">
      <w:pPr>
        <w:spacing w:before="100" w:beforeAutospacing="1" w:after="0" w:line="240" w:lineRule="auto"/>
        <w:jc w:val="both"/>
        <w:rPr>
          <w:szCs w:val="24"/>
        </w:rPr>
      </w:pPr>
      <w:r>
        <w:t>Sauf demande ou accord contraire de la Commission, toute communication ou publication faite par le bénéficiaire en relation avec l’</w:t>
      </w:r>
      <w:r>
        <w:rPr>
          <w:i/>
          <w:szCs w:val="24"/>
        </w:rPr>
        <w:t>action</w:t>
      </w:r>
      <w:r>
        <w:t>, y compris lors de conférences, de séminaires ou dans tout matériel d’information ou de promotion (comme les brochures, dépliants, posters, présentations, sous forme électronique, etc.), doit:</w:t>
      </w:r>
    </w:p>
    <w:p w14:paraId="3BBB8BC0" w14:textId="402A2F55" w:rsidR="00D30E81" w:rsidRPr="00653E6D" w:rsidRDefault="00D30E81" w:rsidP="002A6FB7">
      <w:pPr>
        <w:pStyle w:val="ListParagraph"/>
        <w:numPr>
          <w:ilvl w:val="0"/>
          <w:numId w:val="17"/>
        </w:numPr>
        <w:spacing w:after="100" w:afterAutospacing="1" w:line="240" w:lineRule="auto"/>
        <w:ind w:left="709" w:hanging="425"/>
        <w:jc w:val="both"/>
        <w:rPr>
          <w:szCs w:val="24"/>
        </w:rPr>
      </w:pPr>
      <w:r>
        <w:t>mentionner que l’</w:t>
      </w:r>
      <w:r w:rsidRPr="00653E6D">
        <w:rPr>
          <w:i/>
          <w:szCs w:val="24"/>
        </w:rPr>
        <w:t>action</w:t>
      </w:r>
      <w:r>
        <w:t xml:space="preserve"> fait l’objet d’un financement de la part de l’Union; et</w:t>
      </w:r>
    </w:p>
    <w:p w14:paraId="3BBB8BC1" w14:textId="77777777" w:rsidR="00D30E81" w:rsidRDefault="00D30E81" w:rsidP="002A6FB7">
      <w:pPr>
        <w:numPr>
          <w:ilvl w:val="0"/>
          <w:numId w:val="17"/>
        </w:numPr>
        <w:spacing w:before="100" w:beforeAutospacing="1" w:after="100" w:afterAutospacing="1" w:line="240" w:lineRule="auto"/>
        <w:ind w:left="709" w:hanging="425"/>
        <w:jc w:val="both"/>
        <w:rPr>
          <w:szCs w:val="24"/>
        </w:rPr>
      </w:pPr>
      <w:r>
        <w:t>afficher l’emblème de l’Union européenne.</w:t>
      </w:r>
    </w:p>
    <w:p w14:paraId="3BBB8BC3" w14:textId="77777777" w:rsidR="00D30E81" w:rsidRPr="004264AF" w:rsidRDefault="00D30E81" w:rsidP="00797757">
      <w:pPr>
        <w:spacing w:before="100" w:beforeAutospacing="1" w:after="100" w:afterAutospacing="1" w:line="240" w:lineRule="auto"/>
        <w:jc w:val="both"/>
        <w:rPr>
          <w:szCs w:val="24"/>
        </w:rPr>
      </w:pPr>
      <w:r>
        <w:t>Lorsqu’il est affiché en association avec un autre logo, l’emblème de l’Union européenne doit être mis en évidence de façon adéquate.</w:t>
      </w:r>
    </w:p>
    <w:p w14:paraId="3BBB8BC4" w14:textId="77777777" w:rsidR="00D30E81" w:rsidRPr="004264AF" w:rsidRDefault="00D30E81" w:rsidP="00797757">
      <w:pPr>
        <w:spacing w:before="100" w:beforeAutospacing="1" w:after="100" w:afterAutospacing="1" w:line="240" w:lineRule="auto"/>
        <w:jc w:val="both"/>
        <w:rPr>
          <w:szCs w:val="24"/>
        </w:rPr>
      </w:pPr>
      <w:r>
        <w:t>L’obligation d’afficher l’emblème de l’Union européenne ne confère au bénéficiaire aucun droit d’utilisation exclusive. Le bénéficiaire ne peut s’approprier l’emblème de l’Union européenne ou tout symbole ou logo similaire, par voie d’enregistrement ou par tout autre moyen.</w:t>
      </w:r>
    </w:p>
    <w:p w14:paraId="3BBB8BC5" w14:textId="77777777" w:rsidR="00D30E81" w:rsidRPr="004264AF" w:rsidRDefault="00D30E81" w:rsidP="00797757">
      <w:pPr>
        <w:spacing w:before="100" w:beforeAutospacing="1" w:after="100" w:afterAutospacing="1" w:line="240" w:lineRule="auto"/>
        <w:jc w:val="both"/>
        <w:rPr>
          <w:szCs w:val="24"/>
        </w:rPr>
      </w:pPr>
      <w:r>
        <w:t>Aux fins des premier, deuxième et troisième alinéas et dans les conditions qui y sont fixées, le bénéficiaire peut utiliser l’emblème de l’Union européenne sans avoir préalablement obtenu l’autorisation de la Commission.</w:t>
      </w:r>
    </w:p>
    <w:p w14:paraId="3BBB8BC6" w14:textId="77777777" w:rsidR="00D30E81" w:rsidRPr="00D06D68" w:rsidRDefault="00D30E81" w:rsidP="00797757">
      <w:pPr>
        <w:pStyle w:val="Heading3"/>
        <w:spacing w:before="100" w:beforeAutospacing="1" w:after="100" w:afterAutospacing="1"/>
      </w:pPr>
      <w:bookmarkStart w:id="34" w:name="_Toc441250835"/>
      <w:bookmarkStart w:id="35" w:name="_Toc81831044"/>
      <w:r>
        <w:t>II.8.2</w:t>
      </w:r>
      <w:r>
        <w:tab/>
        <w:t>Avis excluant la responsabilité de la Commission</w:t>
      </w:r>
      <w:bookmarkEnd w:id="34"/>
      <w:bookmarkEnd w:id="35"/>
    </w:p>
    <w:p w14:paraId="3BBB8BC7" w14:textId="77777777" w:rsidR="00D30E81" w:rsidRPr="004264AF" w:rsidRDefault="00D30E81" w:rsidP="001C2768">
      <w:pPr>
        <w:spacing w:before="100" w:beforeAutospacing="1" w:after="0" w:line="240" w:lineRule="auto"/>
        <w:jc w:val="both"/>
        <w:rPr>
          <w:szCs w:val="24"/>
        </w:rPr>
      </w:pPr>
      <w:r>
        <w:t>Toute communication ou publication en relation avec l’</w:t>
      </w:r>
      <w:r>
        <w:rPr>
          <w:i/>
          <w:szCs w:val="24"/>
        </w:rPr>
        <w:t>action</w:t>
      </w:r>
      <w:r>
        <w:t>, faite par le bénéficiaire sous quelque forme et par quelque moyen que ce soit, doit mentionner:</w:t>
      </w:r>
    </w:p>
    <w:p w14:paraId="3A1FEA7D" w14:textId="77777777" w:rsidR="00936091" w:rsidRPr="00936091" w:rsidRDefault="00D30E81" w:rsidP="002A6FB7">
      <w:pPr>
        <w:pStyle w:val="ListParagraph"/>
        <w:numPr>
          <w:ilvl w:val="0"/>
          <w:numId w:val="18"/>
        </w:numPr>
        <w:spacing w:after="100" w:afterAutospacing="1" w:line="240" w:lineRule="auto"/>
        <w:jc w:val="both"/>
        <w:rPr>
          <w:szCs w:val="24"/>
        </w:rPr>
      </w:pPr>
      <w:r>
        <w:t>qu’elle ne reflète que le point de vue de son auteur; et</w:t>
      </w:r>
    </w:p>
    <w:p w14:paraId="3BBB8BC9" w14:textId="497F77B3" w:rsidR="00D30E81" w:rsidRPr="00936091" w:rsidRDefault="00D30E81" w:rsidP="002A6FB7">
      <w:pPr>
        <w:pStyle w:val="ListParagraph"/>
        <w:numPr>
          <w:ilvl w:val="0"/>
          <w:numId w:val="18"/>
        </w:numPr>
        <w:spacing w:after="100" w:afterAutospacing="1" w:line="240" w:lineRule="auto"/>
        <w:jc w:val="both"/>
        <w:rPr>
          <w:szCs w:val="24"/>
        </w:rPr>
      </w:pPr>
      <w:r>
        <w:t>que la Commission n’est pas responsable de l’usage qui pourrait être fait des informations contenues dans cette communication ou publication.</w:t>
      </w:r>
    </w:p>
    <w:p w14:paraId="3BBB8BCA" w14:textId="563B8C14" w:rsidR="00D30E81" w:rsidRPr="001A04C2" w:rsidRDefault="00351830" w:rsidP="00797757">
      <w:pPr>
        <w:pStyle w:val="Heading2"/>
        <w:spacing w:before="100" w:beforeAutospacing="1" w:after="100" w:afterAutospacing="1"/>
      </w:pPr>
      <w:bookmarkStart w:id="36" w:name="_Toc441250836"/>
      <w:bookmarkStart w:id="37" w:name="_Toc81831045"/>
      <w:r>
        <w:t>ARTICLE II.9 – DROITS PRÉEXISTANTS, PROPRIÉTÉ ET UTILISATION DES RÉSULTATS (Y COMPRIS DROITS DE PROPRIÉTÉ INTELLECTUELLE ET INDUSTRIELLE)</w:t>
      </w:r>
      <w:bookmarkEnd w:id="36"/>
      <w:bookmarkEnd w:id="37"/>
    </w:p>
    <w:p w14:paraId="3BBB8BCB" w14:textId="77777777" w:rsidR="00D30E81" w:rsidRPr="00D06D68" w:rsidRDefault="00D30E81" w:rsidP="00797757">
      <w:pPr>
        <w:pStyle w:val="Heading3"/>
        <w:spacing w:before="100" w:beforeAutospacing="1" w:after="100" w:afterAutospacing="1"/>
      </w:pPr>
      <w:bookmarkStart w:id="38" w:name="_Toc81831046"/>
      <w:r>
        <w:t>II.9.1</w:t>
      </w:r>
      <w:r>
        <w:tab/>
      </w:r>
      <w:bookmarkStart w:id="39" w:name="_Toc441250837"/>
      <w:r>
        <w:t>Propriété des résultats détenue par le</w:t>
      </w:r>
      <w:bookmarkEnd w:id="39"/>
      <w:r>
        <w:t xml:space="preserve"> bénéficiaire</w:t>
      </w:r>
      <w:bookmarkEnd w:id="38"/>
    </w:p>
    <w:p w14:paraId="3BBB8BCC" w14:textId="77777777" w:rsidR="00D30E81" w:rsidRPr="004264AF" w:rsidRDefault="00D30E81" w:rsidP="00797757">
      <w:pPr>
        <w:spacing w:before="100" w:beforeAutospacing="1" w:after="100" w:afterAutospacing="1" w:line="240" w:lineRule="auto"/>
        <w:jc w:val="both"/>
        <w:rPr>
          <w:szCs w:val="24"/>
        </w:rPr>
      </w:pPr>
      <w:r>
        <w:t>Le bénéficiaire conserve la propriété des résultats de l’</w:t>
      </w:r>
      <w:r>
        <w:rPr>
          <w:i/>
          <w:szCs w:val="24"/>
        </w:rPr>
        <w:t>action</w:t>
      </w:r>
      <w:r>
        <w:t>, y compris les droits de propriété industrielle et intellectuelle, et des rapports et autres documents concernant celle-ci, sauf disposition contraire de la convention.</w:t>
      </w:r>
    </w:p>
    <w:p w14:paraId="3BBB8BCD" w14:textId="77777777" w:rsidR="00D30E81" w:rsidRPr="00D06D68" w:rsidRDefault="00D30E81" w:rsidP="00797757">
      <w:pPr>
        <w:pStyle w:val="Heading3"/>
        <w:spacing w:before="100" w:beforeAutospacing="1" w:after="100" w:afterAutospacing="1"/>
      </w:pPr>
      <w:bookmarkStart w:id="40" w:name="_Toc441250838"/>
      <w:bookmarkStart w:id="41" w:name="_Toc81831047"/>
      <w:r>
        <w:t>II.9.2</w:t>
      </w:r>
      <w:r>
        <w:tab/>
        <w:t>Droits préexistants</w:t>
      </w:r>
      <w:bookmarkEnd w:id="40"/>
      <w:bookmarkEnd w:id="41"/>
    </w:p>
    <w:p w14:paraId="3BBB8BCE" w14:textId="77777777" w:rsidR="00D30E81" w:rsidRPr="004264AF" w:rsidRDefault="00D30E81" w:rsidP="001C2768">
      <w:pPr>
        <w:spacing w:before="100" w:beforeAutospacing="1" w:after="0" w:line="240" w:lineRule="auto"/>
        <w:jc w:val="both"/>
        <w:rPr>
          <w:szCs w:val="24"/>
        </w:rPr>
      </w:pPr>
      <w:r>
        <w:t>Si la Commission adresse au bénéficiaire une demande écrite indiquant les résultats qu’elle compte utiliser, le bénéficiaire doit:</w:t>
      </w:r>
    </w:p>
    <w:p w14:paraId="51C76CC0" w14:textId="77777777" w:rsidR="00B92A6C" w:rsidRPr="00B92A6C" w:rsidRDefault="00D30E81" w:rsidP="002A6FB7">
      <w:pPr>
        <w:pStyle w:val="ListParagraph"/>
        <w:numPr>
          <w:ilvl w:val="0"/>
          <w:numId w:val="19"/>
        </w:numPr>
        <w:spacing w:after="100" w:afterAutospacing="1" w:line="240" w:lineRule="auto"/>
        <w:jc w:val="both"/>
        <w:rPr>
          <w:szCs w:val="24"/>
        </w:rPr>
      </w:pPr>
      <w:r>
        <w:t xml:space="preserve">établir une liste précisant tous les droits </w:t>
      </w:r>
      <w:r w:rsidRPr="00B92A6C">
        <w:rPr>
          <w:i/>
          <w:szCs w:val="24"/>
        </w:rPr>
        <w:t>préexistants</w:t>
      </w:r>
      <w:r>
        <w:t xml:space="preserve"> inclus dans ces résultats; et</w:t>
      </w:r>
    </w:p>
    <w:p w14:paraId="3BBB8BD0" w14:textId="12AB5423" w:rsidR="00D30E81" w:rsidRPr="00B92A6C" w:rsidRDefault="00D30E81" w:rsidP="002A6FB7">
      <w:pPr>
        <w:pStyle w:val="ListParagraph"/>
        <w:numPr>
          <w:ilvl w:val="0"/>
          <w:numId w:val="19"/>
        </w:numPr>
        <w:spacing w:after="100" w:afterAutospacing="1" w:line="240" w:lineRule="auto"/>
        <w:jc w:val="both"/>
        <w:rPr>
          <w:szCs w:val="24"/>
        </w:rPr>
      </w:pPr>
      <w:r>
        <w:t>transmettre cette liste à la Commission au plus tard avec la demande de paiement du solde.</w:t>
      </w:r>
    </w:p>
    <w:p w14:paraId="3BBB8BD1" w14:textId="77777777" w:rsidR="00D30E81" w:rsidRPr="004264AF" w:rsidRDefault="00D30E81" w:rsidP="00797757">
      <w:pPr>
        <w:spacing w:before="100" w:beforeAutospacing="1" w:after="100" w:afterAutospacing="1" w:line="240" w:lineRule="auto"/>
        <w:jc w:val="both"/>
        <w:rPr>
          <w:szCs w:val="24"/>
        </w:rPr>
      </w:pPr>
      <w:r>
        <w:t xml:space="preserve">Le bénéficiaire doit s’assurer que lui-même ou ses entités affiliées disposent de tous les droits d’utiliser les </w:t>
      </w:r>
      <w:r>
        <w:rPr>
          <w:i/>
          <w:szCs w:val="24"/>
        </w:rPr>
        <w:t>droits préexistants</w:t>
      </w:r>
      <w:r>
        <w:t xml:space="preserve"> dans le cadre de l’exécution de la convention.</w:t>
      </w:r>
    </w:p>
    <w:p w14:paraId="3BBB8BD2" w14:textId="77777777" w:rsidR="00D30E81" w:rsidRPr="00D06D68" w:rsidRDefault="00D30E81" w:rsidP="00797757">
      <w:pPr>
        <w:pStyle w:val="Heading3"/>
        <w:spacing w:before="100" w:beforeAutospacing="1" w:after="100" w:afterAutospacing="1"/>
      </w:pPr>
      <w:bookmarkStart w:id="42" w:name="_Toc441250839"/>
      <w:bookmarkStart w:id="43" w:name="_Toc81831048"/>
      <w:r>
        <w:t>II.9.3</w:t>
      </w:r>
      <w:r>
        <w:tab/>
        <w:t>Droits d’utilisation des résultats et des droits préexistants par l’Union</w:t>
      </w:r>
      <w:bookmarkEnd w:id="42"/>
      <w:bookmarkEnd w:id="43"/>
    </w:p>
    <w:p w14:paraId="3BBB8BD3" w14:textId="77777777" w:rsidR="00D30E81" w:rsidRPr="004264AF" w:rsidRDefault="00D30E81" w:rsidP="001C2768">
      <w:pPr>
        <w:spacing w:before="100" w:beforeAutospacing="1" w:after="0" w:line="240" w:lineRule="auto"/>
        <w:jc w:val="both"/>
        <w:rPr>
          <w:i/>
          <w:szCs w:val="24"/>
        </w:rPr>
      </w:pPr>
      <w:r>
        <w:t>Le bénéficiaire octroie à l’Union les droits suivants concernant l’utilisation des résultats de l’</w:t>
      </w:r>
      <w:r>
        <w:rPr>
          <w:i/>
          <w:szCs w:val="24"/>
        </w:rPr>
        <w:t>action</w:t>
      </w:r>
      <w:r>
        <w:t>:</w:t>
      </w:r>
    </w:p>
    <w:p w14:paraId="3BBB8BD4" w14:textId="77777777" w:rsidR="00D30E81" w:rsidRPr="004264AF" w:rsidRDefault="00D30E81" w:rsidP="001C2768">
      <w:pPr>
        <w:adjustRightInd w:val="0"/>
        <w:spacing w:after="0" w:line="240" w:lineRule="auto"/>
        <w:ind w:left="851" w:hanging="567"/>
        <w:jc w:val="both"/>
        <w:rPr>
          <w:i/>
          <w:szCs w:val="24"/>
        </w:rPr>
      </w:pPr>
      <w:r>
        <w:t>a)</w:t>
      </w:r>
      <w:r>
        <w:tab/>
        <w:t>à des fins internes et, notamment, le droit de divulgation auprès des personnes travaillant pour la Commission et d’autres institutions, agences et organes de l’Union, ainsi qu’aux institutions des États membres, et le droit de copie et de reproduction, en tout ou en partie, et en un nombre illimité d’exemplaires;</w:t>
      </w:r>
    </w:p>
    <w:p w14:paraId="3BBB8BD5" w14:textId="77777777" w:rsidR="00D30E81" w:rsidRPr="004264AF" w:rsidRDefault="00D30E81" w:rsidP="001C2768">
      <w:pPr>
        <w:adjustRightInd w:val="0"/>
        <w:spacing w:after="0" w:line="240" w:lineRule="auto"/>
        <w:ind w:left="851" w:hanging="567"/>
        <w:jc w:val="both"/>
        <w:rPr>
          <w:i/>
          <w:szCs w:val="24"/>
        </w:rPr>
      </w:pPr>
      <w:r>
        <w:t>b)</w:t>
      </w:r>
      <w:r>
        <w:tab/>
        <w:t>reproduction: le droit d’autoriser la reproduction directe ou indirecte, provisoire ou permanente, des résultats par quelque moyen (mécanique, numérique ou autre) et sous quelque forme que ce soit, en tout ou en partie;</w:t>
      </w:r>
    </w:p>
    <w:p w14:paraId="3BBB8BD6" w14:textId="77777777" w:rsidR="00D30E81" w:rsidRPr="004264AF" w:rsidRDefault="00D30E81" w:rsidP="001C2768">
      <w:pPr>
        <w:adjustRightInd w:val="0"/>
        <w:spacing w:after="0" w:line="240" w:lineRule="auto"/>
        <w:ind w:left="851" w:hanging="567"/>
        <w:jc w:val="both"/>
        <w:rPr>
          <w:i/>
          <w:szCs w:val="24"/>
        </w:rPr>
      </w:pPr>
      <w:r>
        <w:t>c)</w:t>
      </w:r>
      <w:r>
        <w:tab/>
        <w:t>communication au public: le droit d’autoriser toute présentation, représentation ou communication au public, par fil ou sans fil, y compris la mise à la disposition du public des résultats de manière que chacun puisse y avoir accès de l’endroit et au moment qu’il choisit individuellement; ce droit comprend également la communication et la diffusion par câble ou par satellite;</w:t>
      </w:r>
    </w:p>
    <w:p w14:paraId="3BBB8BD7" w14:textId="77777777" w:rsidR="00D30E81" w:rsidRPr="004264AF" w:rsidRDefault="00D30E81" w:rsidP="001C2768">
      <w:pPr>
        <w:adjustRightInd w:val="0"/>
        <w:spacing w:after="0" w:line="240" w:lineRule="auto"/>
        <w:ind w:left="851" w:hanging="567"/>
        <w:jc w:val="both"/>
        <w:rPr>
          <w:szCs w:val="24"/>
        </w:rPr>
      </w:pPr>
      <w:r>
        <w:t>d)</w:t>
      </w:r>
      <w:r>
        <w:tab/>
        <w:t>distribution: le droit d’autoriser toute forme de distribution au public des résultats ou des copies de ceux-ci;</w:t>
      </w:r>
    </w:p>
    <w:p w14:paraId="3BBB8BD8" w14:textId="77777777" w:rsidR="00D30E81" w:rsidRPr="004264AF" w:rsidRDefault="00D30E81" w:rsidP="001C2768">
      <w:pPr>
        <w:adjustRightInd w:val="0"/>
        <w:spacing w:after="0" w:line="240" w:lineRule="auto"/>
        <w:ind w:left="851" w:hanging="567"/>
        <w:jc w:val="both"/>
        <w:rPr>
          <w:szCs w:val="24"/>
        </w:rPr>
      </w:pPr>
      <w:r>
        <w:t>e)</w:t>
      </w:r>
      <w:r>
        <w:tab/>
        <w:t>adaptation: le droit de modifier les résultats;</w:t>
      </w:r>
    </w:p>
    <w:p w14:paraId="3BBB8BD9" w14:textId="77777777" w:rsidR="00D30E81" w:rsidRPr="004264AF" w:rsidRDefault="00D30E81" w:rsidP="001C2768">
      <w:pPr>
        <w:adjustRightInd w:val="0"/>
        <w:spacing w:after="0" w:line="240" w:lineRule="auto"/>
        <w:ind w:left="851" w:hanging="567"/>
        <w:jc w:val="both"/>
        <w:rPr>
          <w:szCs w:val="24"/>
        </w:rPr>
      </w:pPr>
      <w:r>
        <w:t>f)</w:t>
      </w:r>
      <w:r>
        <w:tab/>
        <w:t>traduction;</w:t>
      </w:r>
    </w:p>
    <w:p w14:paraId="3BBB8BDA" w14:textId="77777777" w:rsidR="00D30E81" w:rsidRPr="004264AF" w:rsidRDefault="00D30E81" w:rsidP="001C2768">
      <w:pPr>
        <w:adjustRightInd w:val="0"/>
        <w:spacing w:after="0" w:line="240" w:lineRule="auto"/>
        <w:ind w:left="851" w:hanging="567"/>
        <w:jc w:val="both"/>
        <w:rPr>
          <w:szCs w:val="24"/>
        </w:rPr>
      </w:pPr>
      <w:r>
        <w:t>g)</w:t>
      </w:r>
      <w:r>
        <w:tab/>
        <w:t xml:space="preserve">le droit de stocker et d’archiver les résultats conformément aux règles de gestion des documents applicables à la Commission, y compris la numérisation ou la conversion du format à des fins de conservation ou de nouvelle utilisation;  </w:t>
      </w:r>
    </w:p>
    <w:p w14:paraId="3BBB8BDB" w14:textId="77777777" w:rsidR="00D30E81" w:rsidRPr="004264AF" w:rsidRDefault="00D30E81" w:rsidP="001C2768">
      <w:pPr>
        <w:adjustRightInd w:val="0"/>
        <w:spacing w:after="0" w:line="240" w:lineRule="auto"/>
        <w:ind w:left="851" w:hanging="567"/>
        <w:jc w:val="both"/>
        <w:rPr>
          <w:szCs w:val="24"/>
        </w:rPr>
      </w:pPr>
      <w:r>
        <w:t>h)</w:t>
      </w:r>
      <w:r>
        <w:tab/>
        <w:t>lorsque les résultats sont des documents, le droit d’autoriser la réutilisation des documents conformément à la décision 2011/833/UE de la Commission du 12 décembre 2011 relative à la réutilisation des documents de la Commission, si cette décision est applicable et si les documents relèvent de son champ d’application et ne sont pas exclus par l’une de ses dispositions. Aux fins de la présente disposition, les termes «réutilisation» et «document» ont la signification qui leur est donnée par ladite décision 2011/833/UE.</w:t>
      </w:r>
    </w:p>
    <w:p w14:paraId="3BBB8BDC" w14:textId="77777777" w:rsidR="00D30E81" w:rsidRPr="004264AF" w:rsidRDefault="00D30E81" w:rsidP="00797757">
      <w:pPr>
        <w:spacing w:before="100" w:beforeAutospacing="1" w:after="100" w:afterAutospacing="1" w:line="240" w:lineRule="auto"/>
        <w:jc w:val="both"/>
        <w:rPr>
          <w:szCs w:val="24"/>
        </w:rPr>
      </w:pPr>
      <w:r>
        <w:t>Les droits d’utilisation susmentionnés peuvent être précisés dans les conditions particulières.</w:t>
      </w:r>
    </w:p>
    <w:p w14:paraId="3BBB8BDD" w14:textId="77777777" w:rsidR="00D30E81" w:rsidRPr="004264AF" w:rsidRDefault="00D30E81" w:rsidP="00797757">
      <w:pPr>
        <w:spacing w:before="100" w:beforeAutospacing="1" w:after="100" w:afterAutospacing="1" w:line="240" w:lineRule="auto"/>
        <w:jc w:val="both"/>
        <w:rPr>
          <w:szCs w:val="24"/>
        </w:rPr>
      </w:pPr>
      <w:r>
        <w:t>Des droits d’utilisation supplémentaires peuvent être prévus en faveur de l’Union dans les conditions particulières.</w:t>
      </w:r>
    </w:p>
    <w:p w14:paraId="3BBB8BDE" w14:textId="77777777" w:rsidR="00D30E81" w:rsidRPr="004264AF" w:rsidRDefault="00D30E81" w:rsidP="00797757">
      <w:pPr>
        <w:spacing w:before="100" w:beforeAutospacing="1" w:after="100" w:afterAutospacing="1" w:line="240" w:lineRule="auto"/>
        <w:jc w:val="both"/>
        <w:rPr>
          <w:szCs w:val="24"/>
        </w:rPr>
      </w:pPr>
      <w:r>
        <w:t xml:space="preserve">Le bénéficiaire doit veiller à ce que l’Union dispose du droit d’utiliser tout </w:t>
      </w:r>
      <w:r>
        <w:rPr>
          <w:i/>
          <w:szCs w:val="24"/>
        </w:rPr>
        <w:t>droit préexistant</w:t>
      </w:r>
      <w:r>
        <w:t xml:space="preserve"> inclus dans les résultats de l’</w:t>
      </w:r>
      <w:r>
        <w:rPr>
          <w:i/>
          <w:szCs w:val="24"/>
        </w:rPr>
        <w:t>action</w:t>
      </w:r>
      <w:r>
        <w:t xml:space="preserve">. Ces </w:t>
      </w:r>
      <w:r>
        <w:rPr>
          <w:i/>
          <w:szCs w:val="24"/>
        </w:rPr>
        <w:t>droits préexistants</w:t>
      </w:r>
      <w:r>
        <w:t xml:space="preserve"> doivent être utilisés aux mêmes fins et dans les mêmes conditions que les droits d’utilisation des résultats de l’</w:t>
      </w:r>
      <w:r>
        <w:rPr>
          <w:i/>
          <w:szCs w:val="24"/>
        </w:rPr>
        <w:t>action</w:t>
      </w:r>
      <w:r>
        <w:t>, sauf dispositions contraires des conditions particulières.</w:t>
      </w:r>
    </w:p>
    <w:p w14:paraId="3BBB8BDF" w14:textId="77777777" w:rsidR="00D30E81" w:rsidRPr="004264AF" w:rsidRDefault="00D30E81" w:rsidP="00797757">
      <w:pPr>
        <w:spacing w:before="100" w:beforeAutospacing="1" w:after="100" w:afterAutospacing="1" w:line="240" w:lineRule="auto"/>
        <w:jc w:val="both"/>
        <w:rPr>
          <w:szCs w:val="24"/>
        </w:rPr>
      </w:pPr>
      <w:r>
        <w:t>Des informations sur le titulaire du droit d’auteur doivent être mentionnées lorsque l’Union divulgue le résultat. Les informations en matière de droits d’auteur doivent se présenter comme suit: «© — année — nom du titulaire du droit d’auteur. Tous droits réservés. Licence concédée à l’Union européenne sous conditions.»</w:t>
      </w:r>
    </w:p>
    <w:p w14:paraId="3BBB8BE0" w14:textId="3A6C198A" w:rsidR="00D30E81" w:rsidRPr="004264AF" w:rsidRDefault="00D30E81" w:rsidP="00797757">
      <w:pPr>
        <w:spacing w:before="100" w:beforeAutospacing="1" w:after="100" w:afterAutospacing="1" w:line="240" w:lineRule="auto"/>
        <w:jc w:val="both"/>
        <w:rPr>
          <w:szCs w:val="24"/>
        </w:rPr>
      </w:pPr>
      <w:r>
        <w:t>Si le bénéficiaire octroie des droits d’utilisation à la Commission, cela ne modifie en rien les obligations de confidentialité qui incombent à celle-ci en vertu de l’article II.6 ou l’obligation incombant au bénéficiaire prévue à l’article II.2.</w:t>
      </w:r>
    </w:p>
    <w:p w14:paraId="3BBB8BE1" w14:textId="72475AA2" w:rsidR="00D30E81" w:rsidRPr="001A04C2" w:rsidRDefault="00351830" w:rsidP="00797757">
      <w:pPr>
        <w:pStyle w:val="Heading2"/>
        <w:spacing w:before="100" w:beforeAutospacing="1" w:after="100" w:afterAutospacing="1"/>
      </w:pPr>
      <w:bookmarkStart w:id="44" w:name="_Toc441250840"/>
      <w:bookmarkStart w:id="45" w:name="_Toc81831049"/>
      <w:r>
        <w:t>ARTICLE II.10 – PASSATION DES MARCHÉS NÉCESSAIRES À L’EXÉCUTION DE L’ACTION</w:t>
      </w:r>
      <w:bookmarkEnd w:id="44"/>
      <w:bookmarkEnd w:id="45"/>
    </w:p>
    <w:p w14:paraId="3BBB8BE2" w14:textId="2428E508" w:rsidR="00D30E81" w:rsidRPr="004264AF" w:rsidRDefault="00D30E81" w:rsidP="00797757">
      <w:pPr>
        <w:spacing w:before="100" w:beforeAutospacing="1" w:after="100" w:afterAutospacing="1" w:line="240" w:lineRule="auto"/>
        <w:ind w:left="709" w:hanging="709"/>
        <w:jc w:val="both"/>
        <w:rPr>
          <w:szCs w:val="24"/>
        </w:rPr>
      </w:pPr>
      <w:r>
        <w:rPr>
          <w:b/>
          <w:szCs w:val="24"/>
        </w:rPr>
        <w:t>II.10.1</w:t>
      </w:r>
      <w:r>
        <w:tab/>
        <w:t>Si l’exécution de l’</w:t>
      </w:r>
      <w:r>
        <w:rPr>
          <w:i/>
          <w:szCs w:val="24"/>
        </w:rPr>
        <w:t>action</w:t>
      </w:r>
      <w:r>
        <w:t xml:space="preserve"> nécessite la passation d’un marché de fournitures, de travaux ou de services par le bénéficiaire, ce dernier peut attribuer le marché conformément à ses pratiques habituelles d’achat, pour autant que le marché soit attribué à l’offre économiquement la plus avantageuse ou, selon le cas, à l’offre présentant le prix le plus bas. Ce faisant, il doit veiller à l’absence de </w:t>
      </w:r>
      <w:r>
        <w:rPr>
          <w:i/>
          <w:szCs w:val="24"/>
        </w:rPr>
        <w:t>conflit d’intérêts</w:t>
      </w:r>
      <w:r>
        <w:t>.</w:t>
      </w:r>
    </w:p>
    <w:p w14:paraId="3BBB8BE3" w14:textId="77777777" w:rsidR="00D30E81" w:rsidRPr="004264AF" w:rsidRDefault="00D30E81" w:rsidP="00797757">
      <w:pPr>
        <w:spacing w:before="100" w:beforeAutospacing="1" w:after="100" w:afterAutospacing="1" w:line="240" w:lineRule="auto"/>
        <w:ind w:left="709" w:hanging="709"/>
        <w:jc w:val="both"/>
        <w:rPr>
          <w:szCs w:val="24"/>
        </w:rPr>
      </w:pPr>
      <w:r>
        <w:tab/>
        <w:t>Le bénéficiaire doit veiller à ce que la Commission, la Cour des comptes européenne et l’Office européen de lutte antifraude (OLAF) puissent exercer leurs droits au titre de l’article II.27 également à l’égard des contractants du bénéficiaire.</w:t>
      </w:r>
    </w:p>
    <w:p w14:paraId="3BBB8BE4" w14:textId="77777777" w:rsidR="00D30E81" w:rsidRPr="004264AF" w:rsidRDefault="00D30E81" w:rsidP="00797757">
      <w:pPr>
        <w:spacing w:before="100" w:beforeAutospacing="1" w:after="100" w:afterAutospacing="1" w:line="240" w:lineRule="auto"/>
        <w:ind w:left="709" w:hanging="709"/>
        <w:jc w:val="both"/>
        <w:rPr>
          <w:szCs w:val="24"/>
        </w:rPr>
      </w:pPr>
      <w:r>
        <w:rPr>
          <w:b/>
          <w:szCs w:val="24"/>
        </w:rPr>
        <w:t>II.10.2</w:t>
      </w:r>
      <w:r>
        <w:t xml:space="preserve"> Le bénéficiaire qui est un «pouvoir adjudicateur» au sens de la directive 2014/24/UE</w:t>
      </w:r>
      <w:r>
        <w:rPr>
          <w:rStyle w:val="FootnoteReference"/>
          <w:szCs w:val="24"/>
        </w:rPr>
        <w:footnoteReference w:id="2"/>
      </w:r>
      <w:r>
        <w:t xml:space="preserve"> ou une «entité adjudicatrice» au sens de la directive 2014/25/UE</w:t>
      </w:r>
      <w:r>
        <w:rPr>
          <w:rStyle w:val="FootnoteReference"/>
          <w:szCs w:val="24"/>
        </w:rPr>
        <w:footnoteReference w:id="3"/>
      </w:r>
      <w:r>
        <w:t xml:space="preserve"> doit satisfaire aux règles nationales applicables en matière de marchés publics. </w:t>
      </w:r>
    </w:p>
    <w:p w14:paraId="3BBB8BE5" w14:textId="77777777" w:rsidR="00D30E81" w:rsidRPr="004264AF" w:rsidRDefault="00D30E81" w:rsidP="00797757">
      <w:pPr>
        <w:spacing w:before="100" w:beforeAutospacing="1" w:after="100" w:afterAutospacing="1" w:line="240" w:lineRule="auto"/>
        <w:ind w:left="709"/>
        <w:jc w:val="both"/>
        <w:rPr>
          <w:szCs w:val="24"/>
        </w:rPr>
      </w:pPr>
      <w:r>
        <w:t>Le bénéficiaire doit veiller à ce que les conditions qui lui sont applicables au titre des articles II.4, II.5, II.6 et II.9 soient également applicables aux contractants.</w:t>
      </w:r>
    </w:p>
    <w:p w14:paraId="3BBB8BE6" w14:textId="77777777" w:rsidR="00D30E81" w:rsidRPr="004264AF" w:rsidRDefault="00D30E81" w:rsidP="00797757">
      <w:pPr>
        <w:spacing w:before="100" w:beforeAutospacing="1" w:after="100" w:afterAutospacing="1" w:line="240" w:lineRule="auto"/>
        <w:ind w:left="709" w:hanging="709"/>
        <w:jc w:val="both"/>
        <w:rPr>
          <w:szCs w:val="24"/>
        </w:rPr>
      </w:pPr>
      <w:r>
        <w:rPr>
          <w:b/>
          <w:szCs w:val="24"/>
        </w:rPr>
        <w:t>II.10.3</w:t>
      </w:r>
      <w:r>
        <w:tab/>
        <w:t>Le bénéficiaire reste seul responsable de l’exécution de l’</w:t>
      </w:r>
      <w:r>
        <w:rPr>
          <w:i/>
          <w:szCs w:val="24"/>
        </w:rPr>
        <w:t>action</w:t>
      </w:r>
      <w:r>
        <w:t xml:space="preserve"> et du respect de la convention.  </w:t>
      </w:r>
    </w:p>
    <w:p w14:paraId="3BBB8BE7" w14:textId="7438533B" w:rsidR="00D30E81" w:rsidRPr="004264AF" w:rsidRDefault="00D30E81" w:rsidP="00797757">
      <w:pPr>
        <w:spacing w:before="100" w:beforeAutospacing="1" w:after="100" w:afterAutospacing="1" w:line="240" w:lineRule="auto"/>
        <w:ind w:left="709" w:hanging="709"/>
        <w:jc w:val="both"/>
        <w:rPr>
          <w:szCs w:val="24"/>
        </w:rPr>
      </w:pPr>
      <w:r>
        <w:rPr>
          <w:b/>
          <w:szCs w:val="24"/>
        </w:rPr>
        <w:t>II.10.4</w:t>
      </w:r>
      <w:r>
        <w:t>. Si le bénéficiaire manque aux obligations qui lui incombent en vertu de l’article II.10.1, les coûts liés au marché en question sont considérés comme inéligibles conformément à l’article II.19.2, points c), d) et e).</w:t>
      </w:r>
    </w:p>
    <w:p w14:paraId="3BBB8BE8" w14:textId="77777777" w:rsidR="00D30E81" w:rsidRPr="004264AF" w:rsidRDefault="00D30E81" w:rsidP="00797757">
      <w:pPr>
        <w:spacing w:before="100" w:beforeAutospacing="1" w:after="100" w:afterAutospacing="1" w:line="240" w:lineRule="auto"/>
        <w:ind w:left="709" w:hanging="709"/>
        <w:jc w:val="both"/>
        <w:rPr>
          <w:szCs w:val="24"/>
        </w:rPr>
      </w:pPr>
      <w:r>
        <w:tab/>
        <w:t>Si le bénéficiaire manque aux obligations qui lui incombent en vertu de l’article II.10.2, la subvention pourra être réduite conformément à l’article II.25.4.</w:t>
      </w:r>
    </w:p>
    <w:p w14:paraId="3BBB8BE9" w14:textId="2C15DD37" w:rsidR="00D30E81" w:rsidRPr="001A04C2" w:rsidRDefault="00351830" w:rsidP="00797757">
      <w:pPr>
        <w:pStyle w:val="Heading2"/>
        <w:spacing w:before="100" w:beforeAutospacing="1" w:after="100" w:afterAutospacing="1"/>
      </w:pPr>
      <w:bookmarkStart w:id="46" w:name="_Toc441250841"/>
      <w:bookmarkStart w:id="47" w:name="_Toc81831050"/>
      <w:r>
        <w:t>ARTICLE II.11 – SOUS-TRAITANCE DE TÂCHES FAISANT PARTIE DE L’ACTION</w:t>
      </w:r>
      <w:bookmarkEnd w:id="46"/>
      <w:bookmarkEnd w:id="47"/>
    </w:p>
    <w:p w14:paraId="3BBB8BEA" w14:textId="2FDDE7A2" w:rsidR="00D30E81" w:rsidRPr="004264AF" w:rsidRDefault="00D30E81" w:rsidP="001C2768">
      <w:pPr>
        <w:spacing w:before="100" w:beforeAutospacing="1" w:after="0" w:line="240" w:lineRule="auto"/>
        <w:ind w:left="851" w:hanging="851"/>
        <w:jc w:val="both"/>
        <w:rPr>
          <w:szCs w:val="24"/>
        </w:rPr>
      </w:pPr>
      <w:r>
        <w:rPr>
          <w:b/>
          <w:szCs w:val="24"/>
        </w:rPr>
        <w:t>II.11.1</w:t>
      </w:r>
      <w:r>
        <w:tab/>
        <w:t>Le bénéficiaire peut sous-traiter des tâches faisant partie de l’</w:t>
      </w:r>
      <w:r>
        <w:rPr>
          <w:i/>
          <w:szCs w:val="24"/>
        </w:rPr>
        <w:t>action</w:t>
      </w:r>
      <w:r>
        <w:t>. Dans ce cas, il doit veiller à ce que, outre les conditions énoncées à l’article II.10, les conditions suivantes soient respectées:</w:t>
      </w:r>
    </w:p>
    <w:p w14:paraId="3BBB8BEB" w14:textId="3B63E0D4" w:rsidR="00D30E81" w:rsidRPr="006A3E9C" w:rsidRDefault="00D30E81" w:rsidP="002A6FB7">
      <w:pPr>
        <w:pStyle w:val="ListParagraph"/>
        <w:numPr>
          <w:ilvl w:val="0"/>
          <w:numId w:val="20"/>
        </w:numPr>
        <w:spacing w:after="100" w:afterAutospacing="1" w:line="240" w:lineRule="auto"/>
        <w:ind w:firstLine="131"/>
        <w:jc w:val="both"/>
        <w:rPr>
          <w:szCs w:val="24"/>
        </w:rPr>
      </w:pPr>
      <w:r>
        <w:t>la sous-traitance ne porte pas sur des tâches essentielles de l’</w:t>
      </w:r>
      <w:r w:rsidRPr="006A3E9C">
        <w:rPr>
          <w:i/>
          <w:szCs w:val="24"/>
        </w:rPr>
        <w:t>action</w:t>
      </w:r>
      <w:r>
        <w:t>;</w:t>
      </w:r>
    </w:p>
    <w:p w14:paraId="3BBB8BEC" w14:textId="77777777" w:rsidR="00D30E81" w:rsidRPr="004264AF" w:rsidRDefault="00D30E81" w:rsidP="002A6FB7">
      <w:pPr>
        <w:numPr>
          <w:ilvl w:val="0"/>
          <w:numId w:val="20"/>
        </w:numPr>
        <w:spacing w:before="100" w:beforeAutospacing="1" w:after="100" w:afterAutospacing="1" w:line="240" w:lineRule="auto"/>
        <w:ind w:left="1418" w:hanging="567"/>
        <w:jc w:val="both"/>
        <w:rPr>
          <w:szCs w:val="24"/>
        </w:rPr>
      </w:pPr>
      <w:r>
        <w:t>le recours à la sous-traitance est justifié en raison de la nature de l’</w:t>
      </w:r>
      <w:r>
        <w:rPr>
          <w:i/>
          <w:szCs w:val="24"/>
        </w:rPr>
        <w:t>action</w:t>
      </w:r>
      <w:r>
        <w:t xml:space="preserve"> et des nécessités de son exécution;</w:t>
      </w:r>
    </w:p>
    <w:p w14:paraId="3BBB8BED" w14:textId="5A620BE4" w:rsidR="00D30E81" w:rsidRPr="004264AF" w:rsidRDefault="00D30E81" w:rsidP="002A6FB7">
      <w:pPr>
        <w:numPr>
          <w:ilvl w:val="0"/>
          <w:numId w:val="20"/>
        </w:numPr>
        <w:spacing w:before="100" w:beforeAutospacing="1" w:after="100" w:afterAutospacing="1" w:line="240" w:lineRule="auto"/>
        <w:ind w:left="1418" w:hanging="567"/>
        <w:jc w:val="both"/>
        <w:rPr>
          <w:szCs w:val="24"/>
        </w:rPr>
      </w:pPr>
      <w:r>
        <w:t>les coûts estimés de la sous-traitance sont clairement identifiables dans le budget prévisionnel présenté à l’annexe II;</w:t>
      </w:r>
    </w:p>
    <w:p w14:paraId="3BBB8BEE" w14:textId="7CB71DE1" w:rsidR="00D30E81" w:rsidRPr="004264AF" w:rsidRDefault="00D30E81" w:rsidP="002A6FB7">
      <w:pPr>
        <w:numPr>
          <w:ilvl w:val="0"/>
          <w:numId w:val="20"/>
        </w:numPr>
        <w:spacing w:before="100" w:beforeAutospacing="1" w:after="0" w:line="240" w:lineRule="auto"/>
        <w:ind w:left="1418" w:hanging="567"/>
        <w:jc w:val="both"/>
        <w:rPr>
          <w:szCs w:val="24"/>
        </w:rPr>
      </w:pPr>
      <w:r>
        <w:t>tout recours à la sous-traitance, s’il n’est pas prévu à l’annexe III, est communiqué par le bénéficiaire et approuvé par la Commission. La Commission peut donner son accord:</w:t>
      </w:r>
    </w:p>
    <w:p w14:paraId="3BBB8BEF" w14:textId="114231C1" w:rsidR="00D30E81" w:rsidRPr="004264AF" w:rsidRDefault="00D30E81" w:rsidP="001C2768">
      <w:pPr>
        <w:spacing w:after="0" w:line="240" w:lineRule="auto"/>
        <w:ind w:left="1985" w:hanging="567"/>
        <w:jc w:val="both"/>
        <w:rPr>
          <w:szCs w:val="24"/>
        </w:rPr>
      </w:pPr>
      <w:r>
        <w:t xml:space="preserve">i) </w:t>
      </w:r>
      <w:r>
        <w:tab/>
        <w:t xml:space="preserve">avant tout recours à la sous-traitance, si le bénéficiaire demande un avenant conformément à l’article II.13; ou </w:t>
      </w:r>
    </w:p>
    <w:p w14:paraId="3BBB8BF0" w14:textId="337B6433" w:rsidR="00D30E81" w:rsidRPr="004264AF" w:rsidRDefault="00D30E81" w:rsidP="001C2768">
      <w:pPr>
        <w:spacing w:after="0" w:line="240" w:lineRule="auto"/>
        <w:ind w:left="1985" w:hanging="567"/>
        <w:jc w:val="both"/>
        <w:rPr>
          <w:szCs w:val="24"/>
        </w:rPr>
      </w:pPr>
      <w:r>
        <w:t xml:space="preserve">ii) </w:t>
      </w:r>
      <w:r>
        <w:tab/>
        <w:t>après le recours à la sous-traitance si celle-ci:</w:t>
      </w:r>
    </w:p>
    <w:p w14:paraId="3BBB8BF1" w14:textId="1C4DFD0B" w:rsidR="00D30E81" w:rsidRPr="001C2768" w:rsidRDefault="00D30E81" w:rsidP="002A6FB7">
      <w:pPr>
        <w:pStyle w:val="ListParagraph"/>
        <w:numPr>
          <w:ilvl w:val="4"/>
          <w:numId w:val="68"/>
        </w:numPr>
        <w:spacing w:after="0" w:line="240" w:lineRule="auto"/>
        <w:ind w:left="2268" w:hanging="283"/>
        <w:jc w:val="both"/>
      </w:pPr>
      <w:r>
        <w:t>est spécifiquement justifiée dans le rapport technique intermédiaire ou final visé aux articles I.4.3 et I.4.4; et</w:t>
      </w:r>
    </w:p>
    <w:p w14:paraId="3BBB8BF2" w14:textId="76F1434B" w:rsidR="00D30E81" w:rsidRPr="001C2768" w:rsidRDefault="00D30E81" w:rsidP="002A6FB7">
      <w:pPr>
        <w:pStyle w:val="ListParagraph"/>
        <w:numPr>
          <w:ilvl w:val="4"/>
          <w:numId w:val="68"/>
        </w:numPr>
        <w:spacing w:after="0" w:line="240" w:lineRule="auto"/>
        <w:ind w:left="2268" w:hanging="283"/>
        <w:jc w:val="both"/>
      </w:pPr>
      <w:r>
        <w:t>n’implique pas de changements à la convention susceptibles de mettre en cause la décision d’attribution de la subvention ou de nuire à l’égalité de traitement entre demandeurs;</w:t>
      </w:r>
    </w:p>
    <w:p w14:paraId="3BBB8BF3" w14:textId="77777777" w:rsidR="00D30E81" w:rsidRPr="004264AF" w:rsidRDefault="00D30E81" w:rsidP="002A6FB7">
      <w:pPr>
        <w:numPr>
          <w:ilvl w:val="0"/>
          <w:numId w:val="20"/>
        </w:numPr>
        <w:spacing w:after="100" w:afterAutospacing="1" w:line="240" w:lineRule="auto"/>
        <w:ind w:left="1418" w:hanging="567"/>
        <w:jc w:val="both"/>
        <w:rPr>
          <w:szCs w:val="24"/>
        </w:rPr>
      </w:pPr>
      <w:r>
        <w:t>le bénéficiaire veille à ce que les conditions qui lui sont applicables au titre de l’article II.8 soient également applicables aux sous-traitants.</w:t>
      </w:r>
    </w:p>
    <w:p w14:paraId="3BBB8BF4" w14:textId="09A29FC1" w:rsidR="00D30E81" w:rsidRPr="004264AF" w:rsidRDefault="00D30E81" w:rsidP="00797757">
      <w:pPr>
        <w:adjustRightInd w:val="0"/>
        <w:spacing w:before="100" w:beforeAutospacing="1" w:after="100" w:afterAutospacing="1" w:line="240" w:lineRule="auto"/>
        <w:ind w:left="709" w:hanging="709"/>
        <w:jc w:val="both"/>
        <w:rPr>
          <w:szCs w:val="24"/>
        </w:rPr>
      </w:pPr>
      <w:r>
        <w:rPr>
          <w:b/>
          <w:szCs w:val="24"/>
        </w:rPr>
        <w:t>II.11.2</w:t>
      </w:r>
      <w:r>
        <w:t xml:space="preserve"> Si le bénéficiaire manque aux obligations qui lui incombent en vertu de l’article II.11.1, point a), b), c) ou d), les coûts liés au marché en question sont considérés comme inéligibles conformément à l’article II.19.2, point f).  </w:t>
      </w:r>
    </w:p>
    <w:p w14:paraId="3BBB8BF6" w14:textId="3ED76211" w:rsidR="00F95401" w:rsidRDefault="00D30E81" w:rsidP="00F52591">
      <w:pPr>
        <w:adjustRightInd w:val="0"/>
        <w:spacing w:before="100" w:beforeAutospacing="1" w:after="100" w:afterAutospacing="1" w:line="240" w:lineRule="auto"/>
        <w:ind w:left="709"/>
        <w:jc w:val="both"/>
        <w:rPr>
          <w:szCs w:val="24"/>
        </w:rPr>
      </w:pPr>
      <w:r>
        <w:t>Si le bénéficiaire manque aux obligations qui lui incombent en vertu de l’article II.11.1, point e), la subvention pourra être réduite conformément à l’article II.25.4.</w:t>
      </w:r>
    </w:p>
    <w:p w14:paraId="3BBB8BF8" w14:textId="67D9ED6E" w:rsidR="00D30E81" w:rsidRPr="001A04C2" w:rsidRDefault="00351830" w:rsidP="00797757">
      <w:pPr>
        <w:pStyle w:val="Heading2"/>
        <w:spacing w:before="100" w:beforeAutospacing="1" w:after="100" w:afterAutospacing="1"/>
      </w:pPr>
      <w:bookmarkStart w:id="48" w:name="_Toc441250842"/>
      <w:bookmarkStart w:id="49" w:name="_Toc81831051"/>
      <w:r>
        <w:t>ARTICLE II.12 – SOUTIEN FINANCIER À DES TIERS</w:t>
      </w:r>
      <w:bookmarkEnd w:id="48"/>
      <w:bookmarkEnd w:id="49"/>
    </w:p>
    <w:p w14:paraId="3BBB8BF9" w14:textId="29C4F120" w:rsidR="00D30E81" w:rsidRPr="004264AF" w:rsidRDefault="00D30E81" w:rsidP="001C2768">
      <w:pPr>
        <w:spacing w:before="100" w:beforeAutospacing="1" w:after="0" w:line="240" w:lineRule="auto"/>
        <w:ind w:left="851" w:hanging="851"/>
        <w:jc w:val="both"/>
        <w:rPr>
          <w:szCs w:val="24"/>
        </w:rPr>
      </w:pPr>
      <w:r>
        <w:rPr>
          <w:b/>
          <w:szCs w:val="24"/>
        </w:rPr>
        <w:t>II.12.1</w:t>
      </w:r>
      <w:r>
        <w:tab/>
        <w:t>Si, lors de l’exécution de l’</w:t>
      </w:r>
      <w:r>
        <w:rPr>
          <w:i/>
          <w:szCs w:val="24"/>
        </w:rPr>
        <w:t>action</w:t>
      </w:r>
      <w:r>
        <w:t>, il doit apporter un soutien financier à des tiers, le bénéficiaire doit respecter les conditions fixées à l’annexe II. En vertu de ces dernières, au moins les informations suivantes doivent être fournies:</w:t>
      </w:r>
    </w:p>
    <w:p w14:paraId="3BBB8BFA" w14:textId="0E012F99" w:rsidR="00D30E81" w:rsidRPr="006A3E9C" w:rsidRDefault="00D30E81" w:rsidP="002A6FB7">
      <w:pPr>
        <w:pStyle w:val="ListParagraph"/>
        <w:numPr>
          <w:ilvl w:val="0"/>
          <w:numId w:val="21"/>
        </w:numPr>
        <w:spacing w:after="100" w:afterAutospacing="1" w:line="240" w:lineRule="auto"/>
        <w:ind w:left="1418" w:hanging="567"/>
        <w:jc w:val="both"/>
        <w:rPr>
          <w:szCs w:val="24"/>
        </w:rPr>
      </w:pPr>
      <w:r>
        <w:t>le montant maximal du soutien financier. Celui-ci ne peut excéder 60 000 EUR par tiers, sauf si la réalisation de l’objectif de l’</w:t>
      </w:r>
      <w:r w:rsidRPr="006A3E9C">
        <w:rPr>
          <w:i/>
        </w:rPr>
        <w:t>action</w:t>
      </w:r>
      <w:r>
        <w:t xml:space="preserve"> décrite à l’annexe I serait, autrement, impossible ou exagérément difficile;</w:t>
      </w:r>
    </w:p>
    <w:p w14:paraId="3BBB8BFB" w14:textId="77777777" w:rsidR="00D30E81" w:rsidRPr="004264AF" w:rsidRDefault="00D30E81" w:rsidP="002A6FB7">
      <w:pPr>
        <w:numPr>
          <w:ilvl w:val="0"/>
          <w:numId w:val="21"/>
        </w:numPr>
        <w:spacing w:after="100" w:afterAutospacing="1" w:line="240" w:lineRule="auto"/>
        <w:ind w:left="1418" w:hanging="567"/>
        <w:jc w:val="both"/>
        <w:rPr>
          <w:szCs w:val="24"/>
        </w:rPr>
      </w:pPr>
      <w:r>
        <w:t>les critères de détermination du montant exact du soutien financier;</w:t>
      </w:r>
    </w:p>
    <w:p w14:paraId="3BBB8BFC" w14:textId="77777777" w:rsidR="00D30E81" w:rsidRPr="004264AF" w:rsidRDefault="00D30E81" w:rsidP="002A6FB7">
      <w:pPr>
        <w:numPr>
          <w:ilvl w:val="0"/>
          <w:numId w:val="21"/>
        </w:numPr>
        <w:spacing w:after="100" w:afterAutospacing="1" w:line="240" w:lineRule="auto"/>
        <w:ind w:left="1418" w:hanging="567"/>
        <w:jc w:val="both"/>
        <w:rPr>
          <w:szCs w:val="24"/>
        </w:rPr>
      </w:pPr>
      <w:r>
        <w:t>les différents types d’activités susceptibles de bénéficier d’un soutien financier, sur la base d’une liste exhaustive;</w:t>
      </w:r>
    </w:p>
    <w:p w14:paraId="3BBB8BFD" w14:textId="77777777" w:rsidR="00D30E81" w:rsidRPr="004264AF" w:rsidRDefault="00D30E81" w:rsidP="002A6FB7">
      <w:pPr>
        <w:numPr>
          <w:ilvl w:val="0"/>
          <w:numId w:val="21"/>
        </w:numPr>
        <w:spacing w:after="100" w:afterAutospacing="1" w:line="240" w:lineRule="auto"/>
        <w:ind w:left="1418" w:hanging="567"/>
        <w:jc w:val="both"/>
        <w:rPr>
          <w:szCs w:val="24"/>
        </w:rPr>
      </w:pPr>
      <w:r>
        <w:t>les personnes ou catégories de personnes pouvant bénéficier d’un soutien financier;</w:t>
      </w:r>
    </w:p>
    <w:p w14:paraId="3BBB8BFE" w14:textId="77777777" w:rsidR="00D30E81" w:rsidRPr="004264AF" w:rsidRDefault="00D30E81" w:rsidP="002A6FB7">
      <w:pPr>
        <w:numPr>
          <w:ilvl w:val="0"/>
          <w:numId w:val="21"/>
        </w:numPr>
        <w:spacing w:after="100" w:afterAutospacing="1" w:line="240" w:lineRule="auto"/>
        <w:ind w:left="1418" w:hanging="567"/>
        <w:jc w:val="both"/>
        <w:rPr>
          <w:szCs w:val="24"/>
        </w:rPr>
      </w:pPr>
      <w:r>
        <w:t>les critères d’octroi du soutien financier.</w:t>
      </w:r>
    </w:p>
    <w:p w14:paraId="3BBB8BFF" w14:textId="76A3B686" w:rsidR="00D30E81" w:rsidRPr="004264AF" w:rsidRDefault="00D30E81" w:rsidP="001C2768">
      <w:pPr>
        <w:spacing w:before="100" w:beforeAutospacing="1" w:after="0" w:line="240" w:lineRule="auto"/>
        <w:ind w:left="851" w:hanging="851"/>
        <w:jc w:val="both"/>
        <w:rPr>
          <w:szCs w:val="24"/>
        </w:rPr>
      </w:pPr>
      <w:r>
        <w:rPr>
          <w:b/>
          <w:szCs w:val="24"/>
        </w:rPr>
        <w:t>II.12.2</w:t>
      </w:r>
      <w:r>
        <w:tab/>
        <w:t>À titre d’exception à l’article II.12.1, si le soutien financier prend la forme de l’attribution d’un prix, le bénéficiaire doit respecter les conditions fixées à l’annexe I. En vertu de ces dernières, au moins les informations suivantes doivent être fournies:</w:t>
      </w:r>
    </w:p>
    <w:p w14:paraId="3BBB8C01" w14:textId="661A2254" w:rsidR="00D30E81" w:rsidRPr="004264AF" w:rsidRDefault="00D30E81" w:rsidP="001C2768">
      <w:pPr>
        <w:tabs>
          <w:tab w:val="left" w:pos="1418"/>
        </w:tabs>
        <w:adjustRightInd w:val="0"/>
        <w:spacing w:after="0" w:line="240" w:lineRule="auto"/>
        <w:ind w:left="1418" w:hanging="567"/>
        <w:jc w:val="both"/>
        <w:rPr>
          <w:szCs w:val="24"/>
        </w:rPr>
      </w:pPr>
      <w:r>
        <w:t xml:space="preserve">a) </w:t>
      </w:r>
      <w:r>
        <w:tab/>
        <w:t>les critères d’éligibilité et d’attribution;</w:t>
      </w:r>
    </w:p>
    <w:p w14:paraId="3BBB8C02" w14:textId="13A3E4E2" w:rsidR="00D30E81" w:rsidRPr="004264AF" w:rsidRDefault="00D30E81" w:rsidP="001C2768">
      <w:pPr>
        <w:tabs>
          <w:tab w:val="left" w:pos="1418"/>
        </w:tabs>
        <w:adjustRightInd w:val="0"/>
        <w:spacing w:after="0" w:line="240" w:lineRule="auto"/>
        <w:ind w:left="1418" w:hanging="567"/>
        <w:jc w:val="both"/>
        <w:rPr>
          <w:szCs w:val="24"/>
        </w:rPr>
      </w:pPr>
      <w:r>
        <w:t xml:space="preserve">b) </w:t>
      </w:r>
      <w:r>
        <w:tab/>
        <w:t>le montant du prix attribué;</w:t>
      </w:r>
    </w:p>
    <w:p w14:paraId="3BBB8C03" w14:textId="119068F4" w:rsidR="00D30E81" w:rsidRPr="004264AF" w:rsidRDefault="00D30E81" w:rsidP="001C2768">
      <w:pPr>
        <w:tabs>
          <w:tab w:val="left" w:pos="1418"/>
        </w:tabs>
        <w:adjustRightInd w:val="0"/>
        <w:spacing w:after="0" w:line="240" w:lineRule="auto"/>
        <w:ind w:left="1418" w:hanging="567"/>
        <w:jc w:val="both"/>
        <w:rPr>
          <w:szCs w:val="24"/>
        </w:rPr>
      </w:pPr>
      <w:r>
        <w:t xml:space="preserve">c) </w:t>
      </w:r>
      <w:r>
        <w:tab/>
        <w:t>les modalités de paiement.</w:t>
      </w:r>
    </w:p>
    <w:p w14:paraId="3BBB8C04" w14:textId="77777777" w:rsidR="00D30E81" w:rsidRPr="004264AF" w:rsidRDefault="00D30E81" w:rsidP="00797757">
      <w:pPr>
        <w:spacing w:before="100" w:beforeAutospacing="1" w:after="100" w:afterAutospacing="1" w:line="240" w:lineRule="auto"/>
        <w:ind w:left="851" w:hanging="851"/>
        <w:jc w:val="both"/>
        <w:rPr>
          <w:szCs w:val="24"/>
        </w:rPr>
      </w:pPr>
      <w:r>
        <w:rPr>
          <w:b/>
          <w:szCs w:val="24"/>
        </w:rPr>
        <w:t>II.12.3</w:t>
      </w:r>
      <w:r>
        <w:tab/>
        <w:t>Le bénéficiaire doit veiller à ce que les conditions qui lui sont applicables au titre des articles II.4, II.5, II.6, II.8, II.9 et II.27 soient également applicables aux tiers auxquels est destiné le soutien financier.</w:t>
      </w:r>
    </w:p>
    <w:p w14:paraId="3BBB8C05" w14:textId="019E350F" w:rsidR="00D30E81" w:rsidRPr="001A04C2" w:rsidRDefault="00351830" w:rsidP="00797757">
      <w:pPr>
        <w:pStyle w:val="Heading2"/>
        <w:spacing w:before="100" w:beforeAutospacing="1" w:after="100" w:afterAutospacing="1"/>
      </w:pPr>
      <w:bookmarkStart w:id="50" w:name="_Toc441250843"/>
      <w:bookmarkStart w:id="51" w:name="_Toc81831052"/>
      <w:r>
        <w:t>ARTICLE II.13 – AVENANTS À LA CONVENTION</w:t>
      </w:r>
      <w:bookmarkEnd w:id="50"/>
      <w:bookmarkEnd w:id="51"/>
    </w:p>
    <w:p w14:paraId="3BBB8C07" w14:textId="77777777" w:rsidR="00D30E81" w:rsidRPr="004264AF" w:rsidRDefault="00D30E81" w:rsidP="00797757">
      <w:pPr>
        <w:spacing w:before="100" w:beforeAutospacing="1" w:after="100" w:afterAutospacing="1" w:line="240" w:lineRule="auto"/>
        <w:ind w:left="851" w:hanging="851"/>
        <w:jc w:val="both"/>
        <w:rPr>
          <w:szCs w:val="24"/>
        </w:rPr>
      </w:pPr>
      <w:r>
        <w:rPr>
          <w:b/>
          <w:szCs w:val="24"/>
        </w:rPr>
        <w:t>II.13.1</w:t>
      </w:r>
      <w:r>
        <w:tab/>
        <w:t>Tout avenant à la convention doit être établi par écrit.</w:t>
      </w:r>
    </w:p>
    <w:p w14:paraId="3BBB8C08" w14:textId="77777777" w:rsidR="00D30E81" w:rsidRPr="004264AF" w:rsidRDefault="00D30E81" w:rsidP="00797757">
      <w:pPr>
        <w:spacing w:before="100" w:beforeAutospacing="1" w:after="100" w:afterAutospacing="1" w:line="240" w:lineRule="auto"/>
        <w:ind w:left="851" w:hanging="851"/>
        <w:jc w:val="both"/>
        <w:rPr>
          <w:szCs w:val="24"/>
        </w:rPr>
      </w:pPr>
      <w:r>
        <w:rPr>
          <w:b/>
          <w:szCs w:val="24"/>
        </w:rPr>
        <w:t>II.13.2</w:t>
      </w:r>
      <w:r>
        <w:tab/>
        <w:t>Un avenant ne peut avoir pour objet ou pour effet d’apporter à la convention des changements susceptibles de mettre en cause la décision d’attribution de la subvention ou de nuire à l’égalité de traitement entre demandeurs.</w:t>
      </w:r>
    </w:p>
    <w:p w14:paraId="3BBB8C09" w14:textId="77777777" w:rsidR="00D30E81" w:rsidRPr="004264AF" w:rsidRDefault="00D30E81" w:rsidP="001C2768">
      <w:pPr>
        <w:spacing w:before="100" w:beforeAutospacing="1" w:after="0" w:line="240" w:lineRule="auto"/>
        <w:ind w:left="851" w:hanging="851"/>
        <w:jc w:val="both"/>
        <w:rPr>
          <w:szCs w:val="24"/>
        </w:rPr>
      </w:pPr>
      <w:r>
        <w:rPr>
          <w:b/>
          <w:szCs w:val="24"/>
        </w:rPr>
        <w:t>II.13.3</w:t>
      </w:r>
      <w:r>
        <w:tab/>
        <w:t>Toute demande d’avenant doit:</w:t>
      </w:r>
    </w:p>
    <w:p w14:paraId="3BBB8C0A" w14:textId="71777F46" w:rsidR="00D30E81" w:rsidRPr="006A3E9C" w:rsidRDefault="00D30E81" w:rsidP="002A6FB7">
      <w:pPr>
        <w:pStyle w:val="ListParagraph"/>
        <w:numPr>
          <w:ilvl w:val="0"/>
          <w:numId w:val="22"/>
        </w:numPr>
        <w:spacing w:after="100" w:afterAutospacing="1" w:line="240" w:lineRule="auto"/>
        <w:jc w:val="both"/>
        <w:rPr>
          <w:szCs w:val="24"/>
        </w:rPr>
      </w:pPr>
      <w:r>
        <w:t>être dûment justifiée;</w:t>
      </w:r>
    </w:p>
    <w:p w14:paraId="3BBB8C0B" w14:textId="77777777" w:rsidR="00D30E81" w:rsidRPr="004264AF" w:rsidRDefault="00D30E81" w:rsidP="002A6FB7">
      <w:pPr>
        <w:numPr>
          <w:ilvl w:val="0"/>
          <w:numId w:val="22"/>
        </w:numPr>
        <w:spacing w:before="100" w:beforeAutospacing="1" w:after="100" w:afterAutospacing="1" w:line="240" w:lineRule="auto"/>
        <w:ind w:left="1276" w:hanging="425"/>
        <w:jc w:val="both"/>
        <w:rPr>
          <w:szCs w:val="24"/>
        </w:rPr>
      </w:pPr>
      <w:r>
        <w:t>être accompagnée des pièces justificatives appropriées; et</w:t>
      </w:r>
    </w:p>
    <w:p w14:paraId="3BBB8C0C" w14:textId="77777777" w:rsidR="00D30E81" w:rsidRPr="004264AF" w:rsidRDefault="00D30E81" w:rsidP="002A6FB7">
      <w:pPr>
        <w:numPr>
          <w:ilvl w:val="0"/>
          <w:numId w:val="22"/>
        </w:numPr>
        <w:spacing w:before="100" w:beforeAutospacing="1" w:after="100" w:afterAutospacing="1" w:line="240" w:lineRule="auto"/>
        <w:ind w:left="1276" w:hanging="425"/>
        <w:jc w:val="both"/>
        <w:rPr>
          <w:szCs w:val="24"/>
        </w:rPr>
      </w:pPr>
      <w:r>
        <w:t xml:space="preserve">être adressée à l’autre partie en temps utile avant sa prise d’effet envisagée et, en tout état de cause, un mois avant la fin de la </w:t>
      </w:r>
      <w:r>
        <w:rPr>
          <w:i/>
          <w:szCs w:val="24"/>
        </w:rPr>
        <w:t>période de mise en œuvre</w:t>
      </w:r>
      <w:r>
        <w:t>.</w:t>
      </w:r>
    </w:p>
    <w:p w14:paraId="3BBB8C0D" w14:textId="77777777" w:rsidR="00D30E81" w:rsidRPr="004264AF" w:rsidRDefault="00D30E81" w:rsidP="00797757">
      <w:pPr>
        <w:spacing w:before="100" w:beforeAutospacing="1" w:after="100" w:afterAutospacing="1" w:line="240" w:lineRule="auto"/>
        <w:ind w:left="851"/>
        <w:jc w:val="both"/>
        <w:rPr>
          <w:szCs w:val="24"/>
        </w:rPr>
      </w:pPr>
      <w:r>
        <w:t>Le point c) ne s’applique pas dans les cas dûment justifiés par la partie demandant l’avenant, si l’autre partie l’accepte.</w:t>
      </w:r>
    </w:p>
    <w:p w14:paraId="3BBB8C0E" w14:textId="601C9374" w:rsidR="00D30E81" w:rsidRPr="004264AF" w:rsidRDefault="00D30E81" w:rsidP="00797757">
      <w:pPr>
        <w:spacing w:before="100" w:beforeAutospacing="1" w:after="100" w:afterAutospacing="1" w:line="240" w:lineRule="auto"/>
        <w:ind w:left="851" w:hanging="851"/>
        <w:jc w:val="both"/>
        <w:rPr>
          <w:szCs w:val="24"/>
        </w:rPr>
      </w:pPr>
      <w:r>
        <w:rPr>
          <w:b/>
          <w:szCs w:val="24"/>
        </w:rPr>
        <w:t>II.13.4</w:t>
      </w:r>
      <w:r>
        <w:tab/>
        <w:t>Dans le cas d’une subvention de fonctionnement, la durée fixée à l’article I.2.2 ne peut être prolongée par voie d’avenants.</w:t>
      </w:r>
    </w:p>
    <w:p w14:paraId="3BBB8C0F" w14:textId="77777777" w:rsidR="00D30E81" w:rsidRPr="004264AF" w:rsidRDefault="00D30E81" w:rsidP="00797757">
      <w:pPr>
        <w:spacing w:before="100" w:beforeAutospacing="1" w:after="100" w:afterAutospacing="1" w:line="240" w:lineRule="auto"/>
        <w:ind w:left="851" w:hanging="851"/>
        <w:jc w:val="both"/>
        <w:rPr>
          <w:szCs w:val="24"/>
        </w:rPr>
      </w:pPr>
      <w:r>
        <w:rPr>
          <w:b/>
          <w:szCs w:val="24"/>
        </w:rPr>
        <w:t>II.13.5</w:t>
      </w:r>
      <w:r>
        <w:tab/>
        <w:t>Les avenants doivent entrer en vigueur à la date de leur signature par la dernière partie ou à la date d’acceptation de la demande d’avenant.</w:t>
      </w:r>
    </w:p>
    <w:p w14:paraId="3BBB8C10" w14:textId="3AC0F09E" w:rsidR="00D30E81" w:rsidRPr="004264AF" w:rsidRDefault="00D30E81" w:rsidP="00797757">
      <w:pPr>
        <w:spacing w:before="100" w:beforeAutospacing="1" w:after="100" w:afterAutospacing="1" w:line="240" w:lineRule="auto"/>
        <w:ind w:left="851"/>
        <w:jc w:val="both"/>
        <w:rPr>
          <w:szCs w:val="24"/>
        </w:rPr>
      </w:pPr>
      <w:r>
        <w:t>Les avenants prennent effet à la date convenue par les parties ou, en l’absence d’une date convenue, à la date de l’entrée en vigueur de l’avenant.</w:t>
      </w:r>
    </w:p>
    <w:p w14:paraId="3BBB8C1D" w14:textId="77777777" w:rsidR="00D30E81" w:rsidRPr="001A04C2" w:rsidRDefault="00C03303" w:rsidP="00797757">
      <w:pPr>
        <w:pStyle w:val="Heading2"/>
        <w:spacing w:before="100" w:beforeAutospacing="1" w:after="100" w:afterAutospacing="1"/>
      </w:pPr>
      <w:bookmarkStart w:id="52" w:name="_Toc441250844"/>
      <w:bookmarkStart w:id="53" w:name="_Toc81831053"/>
      <w:r>
        <w:t>ARTICLE II.14 – CESSION DE CRÉANCES À DES TIERS</w:t>
      </w:r>
      <w:bookmarkEnd w:id="52"/>
      <w:bookmarkEnd w:id="53"/>
    </w:p>
    <w:p w14:paraId="3BBB8C1E" w14:textId="77777777" w:rsidR="00D30E81" w:rsidRPr="004264AF" w:rsidRDefault="00D30E81" w:rsidP="00797757">
      <w:pPr>
        <w:spacing w:before="100" w:beforeAutospacing="1" w:after="100" w:afterAutospacing="1" w:line="240" w:lineRule="auto"/>
        <w:ind w:left="851" w:hanging="851"/>
        <w:jc w:val="both"/>
        <w:rPr>
          <w:szCs w:val="24"/>
        </w:rPr>
      </w:pPr>
      <w:r>
        <w:rPr>
          <w:b/>
          <w:szCs w:val="24"/>
        </w:rPr>
        <w:t>II.14.1</w:t>
      </w:r>
      <w:r>
        <w:tab/>
        <w:t>Le bénéficiaire ne peut céder à un tiers aucune de ses créances vis-à-vis de la Commission, sauf accord de cette dernière fondé sur une demande écrite dûment motivée du bénéficiaire.</w:t>
      </w:r>
    </w:p>
    <w:p w14:paraId="3BBB8C1F" w14:textId="77777777" w:rsidR="00D30E81" w:rsidRPr="004264AF" w:rsidRDefault="00D30E81" w:rsidP="00797757">
      <w:pPr>
        <w:spacing w:before="100" w:beforeAutospacing="1" w:after="100" w:afterAutospacing="1" w:line="240" w:lineRule="auto"/>
        <w:ind w:left="851"/>
        <w:jc w:val="both"/>
        <w:rPr>
          <w:szCs w:val="24"/>
        </w:rPr>
      </w:pPr>
      <w:r>
        <w:t>Si la Commission refuse la cession ou si les conditions de celle-ci ne sont pas respectées, la cession n’a aucun effet à l’égard de celle-ci.</w:t>
      </w:r>
    </w:p>
    <w:p w14:paraId="3BBB8C20" w14:textId="77777777" w:rsidR="00D30E81" w:rsidRPr="004264AF" w:rsidRDefault="00D30E81" w:rsidP="00797757">
      <w:pPr>
        <w:spacing w:before="100" w:beforeAutospacing="1" w:after="100" w:afterAutospacing="1" w:line="240" w:lineRule="auto"/>
        <w:ind w:left="851" w:hanging="851"/>
        <w:jc w:val="both"/>
        <w:rPr>
          <w:szCs w:val="24"/>
        </w:rPr>
      </w:pPr>
      <w:r>
        <w:rPr>
          <w:b/>
          <w:szCs w:val="24"/>
        </w:rPr>
        <w:t>II.14.2</w:t>
      </w:r>
      <w:r>
        <w:tab/>
        <w:t>En aucun cas, une telle cession ne peut libérer le bénéficiaire de ses obligations vis-à-vis de la Commission.</w:t>
      </w:r>
    </w:p>
    <w:p w14:paraId="3BBB8C21" w14:textId="39E7768E" w:rsidR="00D30E81" w:rsidRPr="001A04C2" w:rsidRDefault="00C03303" w:rsidP="00797757">
      <w:pPr>
        <w:pStyle w:val="Heading2"/>
        <w:spacing w:before="100" w:beforeAutospacing="1" w:after="100" w:afterAutospacing="1"/>
      </w:pPr>
      <w:bookmarkStart w:id="54" w:name="_Toc441250845"/>
      <w:bookmarkStart w:id="55" w:name="_Toc81831054"/>
      <w:r>
        <w:t>ARTICLE II.15 – FORCE MAJEURE</w:t>
      </w:r>
      <w:bookmarkEnd w:id="54"/>
      <w:bookmarkEnd w:id="55"/>
    </w:p>
    <w:p w14:paraId="3BBB8C22" w14:textId="77777777" w:rsidR="00D30E81" w:rsidRPr="004264AF" w:rsidRDefault="00D30E81" w:rsidP="00797757">
      <w:pPr>
        <w:spacing w:before="100" w:beforeAutospacing="1" w:after="100" w:afterAutospacing="1" w:line="240" w:lineRule="auto"/>
        <w:ind w:left="851" w:hanging="851"/>
        <w:jc w:val="both"/>
        <w:rPr>
          <w:szCs w:val="24"/>
        </w:rPr>
      </w:pPr>
      <w:r>
        <w:rPr>
          <w:b/>
          <w:szCs w:val="24"/>
        </w:rPr>
        <w:t>II.15.1</w:t>
      </w:r>
      <w:r>
        <w:tab/>
        <w:t xml:space="preserve">Toute partie confrontée à un cas de </w:t>
      </w:r>
      <w:r>
        <w:rPr>
          <w:i/>
          <w:szCs w:val="24"/>
        </w:rPr>
        <w:t>force majeure</w:t>
      </w:r>
      <w:r>
        <w:t xml:space="preserve"> doit adresser sans délai une </w:t>
      </w:r>
      <w:r>
        <w:rPr>
          <w:i/>
          <w:szCs w:val="24"/>
        </w:rPr>
        <w:t>notification formelle</w:t>
      </w:r>
      <w:r>
        <w:t xml:space="preserve"> à l’autre partie, en précisant la nature, la durée probable et les effets prévisibles de la situation ou de l’événement.</w:t>
      </w:r>
    </w:p>
    <w:p w14:paraId="3BBB8C23" w14:textId="77777777" w:rsidR="00D30E81" w:rsidRPr="004264AF" w:rsidRDefault="00D30E81" w:rsidP="00797757">
      <w:pPr>
        <w:spacing w:before="100" w:beforeAutospacing="1" w:after="100" w:afterAutospacing="1" w:line="240" w:lineRule="auto"/>
        <w:ind w:left="851" w:hanging="851"/>
        <w:jc w:val="both"/>
        <w:rPr>
          <w:szCs w:val="24"/>
        </w:rPr>
      </w:pPr>
      <w:r>
        <w:rPr>
          <w:b/>
          <w:szCs w:val="24"/>
        </w:rPr>
        <w:t>II.15.2</w:t>
      </w:r>
      <w:r>
        <w:tab/>
        <w:t xml:space="preserve">Les parties doivent prendre les mesures nécessaires pour limiter les éventuels dommages qui résulteraient d’un cas de </w:t>
      </w:r>
      <w:r>
        <w:rPr>
          <w:i/>
          <w:szCs w:val="24"/>
        </w:rPr>
        <w:t>force majeure</w:t>
      </w:r>
      <w:r>
        <w:t>. Elles doivent mettre tout en œuvre pour reprendre l’exécution de l’</w:t>
      </w:r>
      <w:r>
        <w:rPr>
          <w:i/>
          <w:szCs w:val="24"/>
        </w:rPr>
        <w:t>action</w:t>
      </w:r>
      <w:r>
        <w:t xml:space="preserve"> dans les plus brefs délais.</w:t>
      </w:r>
    </w:p>
    <w:p w14:paraId="3BBB8C24" w14:textId="77777777" w:rsidR="00D30E81" w:rsidRPr="004264AF" w:rsidRDefault="00D30E81" w:rsidP="00797757">
      <w:pPr>
        <w:spacing w:before="100" w:beforeAutospacing="1" w:after="100" w:afterAutospacing="1" w:line="240" w:lineRule="auto"/>
        <w:ind w:left="851" w:hanging="851"/>
        <w:jc w:val="both"/>
        <w:rPr>
          <w:szCs w:val="24"/>
        </w:rPr>
      </w:pPr>
      <w:r>
        <w:rPr>
          <w:b/>
          <w:szCs w:val="24"/>
        </w:rPr>
        <w:t>II.15.3</w:t>
      </w:r>
      <w:r>
        <w:tab/>
        <w:t xml:space="preserve">La partie confrontée à un cas de </w:t>
      </w:r>
      <w:r>
        <w:rPr>
          <w:i/>
          <w:szCs w:val="24"/>
        </w:rPr>
        <w:t>force majeure</w:t>
      </w:r>
      <w:r>
        <w:t xml:space="preserve"> ne peut pas être considérée comme ayant manqué à ses obligations conventionnelles si elle est empêchée de les exécuter par ce cas de </w:t>
      </w:r>
      <w:r>
        <w:rPr>
          <w:i/>
          <w:szCs w:val="24"/>
        </w:rPr>
        <w:t>force majeure</w:t>
      </w:r>
      <w:r>
        <w:t>.</w:t>
      </w:r>
    </w:p>
    <w:p w14:paraId="3BBB8C25" w14:textId="3FB6379C" w:rsidR="00D30E81" w:rsidRPr="001A04C2" w:rsidRDefault="00C03303" w:rsidP="00797757">
      <w:pPr>
        <w:pStyle w:val="Heading2"/>
        <w:spacing w:before="100" w:beforeAutospacing="1" w:after="100" w:afterAutospacing="1"/>
      </w:pPr>
      <w:bookmarkStart w:id="56" w:name="_Toc441250846"/>
      <w:bookmarkStart w:id="57" w:name="_Toc81831055"/>
      <w:r>
        <w:t>ARTICLE II.16 – SUSPENSION DE L’EXÉCUTION DE L’ACTION</w:t>
      </w:r>
      <w:bookmarkEnd w:id="56"/>
      <w:bookmarkEnd w:id="57"/>
    </w:p>
    <w:p w14:paraId="3BBB8C26" w14:textId="77777777" w:rsidR="00D30E81" w:rsidRPr="00D06D68" w:rsidRDefault="00D30E81" w:rsidP="00797757">
      <w:pPr>
        <w:pStyle w:val="Heading3"/>
        <w:spacing w:before="100" w:beforeAutospacing="1" w:after="100" w:afterAutospacing="1"/>
      </w:pPr>
      <w:bookmarkStart w:id="58" w:name="_Toc81831056"/>
      <w:r>
        <w:t>II.16.1</w:t>
      </w:r>
      <w:r>
        <w:tab/>
      </w:r>
      <w:bookmarkStart w:id="59" w:name="_Toc441250847"/>
      <w:r>
        <w:t>Suspension de l’exécution par le</w:t>
      </w:r>
      <w:bookmarkEnd w:id="59"/>
      <w:r>
        <w:t xml:space="preserve"> bénéficiaire</w:t>
      </w:r>
      <w:bookmarkEnd w:id="58"/>
    </w:p>
    <w:p w14:paraId="3BBB8C27" w14:textId="25A1995A" w:rsidR="00D30E81" w:rsidRPr="004264AF" w:rsidRDefault="00D30E81" w:rsidP="00797757">
      <w:pPr>
        <w:spacing w:before="100" w:beforeAutospacing="1" w:after="100" w:afterAutospacing="1" w:line="240" w:lineRule="auto"/>
        <w:jc w:val="both"/>
        <w:rPr>
          <w:szCs w:val="24"/>
        </w:rPr>
      </w:pPr>
      <w:r>
        <w:t>Le bénéficiaire peut suspendre l’exécution de tout ou partie de l’</w:t>
      </w:r>
      <w:r>
        <w:rPr>
          <w:i/>
          <w:szCs w:val="24"/>
        </w:rPr>
        <w:t>action</w:t>
      </w:r>
      <w:r>
        <w:t xml:space="preserve"> si des circonstances exceptionnelles, notamment de </w:t>
      </w:r>
      <w:r>
        <w:rPr>
          <w:i/>
          <w:szCs w:val="24"/>
        </w:rPr>
        <w:t>force majeure</w:t>
      </w:r>
      <w:r>
        <w:t>, rendent cette exécution impossible ou excessivement difficile.</w:t>
      </w:r>
    </w:p>
    <w:p w14:paraId="3BBB8C28" w14:textId="77777777" w:rsidR="00D30E81" w:rsidRPr="004264AF" w:rsidRDefault="00D30E81" w:rsidP="001C2768">
      <w:pPr>
        <w:spacing w:before="100" w:beforeAutospacing="1" w:after="0" w:line="240" w:lineRule="auto"/>
        <w:jc w:val="both"/>
        <w:rPr>
          <w:szCs w:val="24"/>
        </w:rPr>
      </w:pPr>
      <w:r>
        <w:t>Le bénéficiaire doit immédiatement en informer la Commission, en indiquant:</w:t>
      </w:r>
    </w:p>
    <w:p w14:paraId="5F91A4EC" w14:textId="77777777" w:rsidR="00677227" w:rsidRPr="00677227" w:rsidRDefault="00D30E81" w:rsidP="002A6FB7">
      <w:pPr>
        <w:pStyle w:val="ListParagraph"/>
        <w:numPr>
          <w:ilvl w:val="0"/>
          <w:numId w:val="23"/>
        </w:numPr>
        <w:spacing w:after="100" w:afterAutospacing="1" w:line="240" w:lineRule="auto"/>
        <w:jc w:val="both"/>
        <w:rPr>
          <w:szCs w:val="24"/>
        </w:rPr>
      </w:pPr>
      <w:r>
        <w:t>les raisons de la suspension, et en fournissant des précisions sur la date ou la période à laquelle les circonstances exceptionnelles ont eu lieu; et</w:t>
      </w:r>
    </w:p>
    <w:p w14:paraId="3BBB8C2A" w14:textId="31247B0E" w:rsidR="00D30E81" w:rsidRPr="00677227" w:rsidRDefault="00D30E81" w:rsidP="002A6FB7">
      <w:pPr>
        <w:pStyle w:val="ListParagraph"/>
        <w:numPr>
          <w:ilvl w:val="0"/>
          <w:numId w:val="23"/>
        </w:numPr>
        <w:spacing w:after="100" w:afterAutospacing="1" w:line="240" w:lineRule="auto"/>
        <w:jc w:val="both"/>
        <w:rPr>
          <w:szCs w:val="24"/>
        </w:rPr>
      </w:pPr>
      <w:r>
        <w:t>la date probable de reprise.</w:t>
      </w:r>
    </w:p>
    <w:p w14:paraId="3BBB8C2B" w14:textId="77777777" w:rsidR="00D30E81" w:rsidRPr="004264AF" w:rsidRDefault="00D30E81" w:rsidP="00797757">
      <w:pPr>
        <w:spacing w:before="100" w:beforeAutospacing="1" w:after="100" w:afterAutospacing="1" w:line="240" w:lineRule="auto"/>
        <w:jc w:val="both"/>
        <w:rPr>
          <w:szCs w:val="24"/>
        </w:rPr>
      </w:pPr>
      <w:r>
        <w:t>Dès que les circonstances lui permettent de reprendre l’exécution de l’</w:t>
      </w:r>
      <w:r>
        <w:rPr>
          <w:i/>
          <w:szCs w:val="24"/>
        </w:rPr>
        <w:t>action</w:t>
      </w:r>
      <w:r>
        <w:t xml:space="preserve">, le bénéficiaire doit en informer immédiatement la Commission et présenter une demande d’avenant à la convention, comme le prévoit l’article II.16.3. Cette obligation ne s’applique pas si la convention est résiliée conformément à l’article II.17.1 ou à l’article II.17.2.1, point b) ou c).  </w:t>
      </w:r>
    </w:p>
    <w:p w14:paraId="3BBB8C2C" w14:textId="77777777" w:rsidR="00D30E81" w:rsidRPr="00D06D68" w:rsidRDefault="00D30E81" w:rsidP="00797757">
      <w:pPr>
        <w:pStyle w:val="Heading3"/>
        <w:spacing w:before="100" w:beforeAutospacing="1" w:after="100" w:afterAutospacing="1"/>
      </w:pPr>
      <w:bookmarkStart w:id="60" w:name="_Toc441250848"/>
      <w:bookmarkStart w:id="61" w:name="_Toc81831057"/>
      <w:r>
        <w:t>II.16.2</w:t>
      </w:r>
      <w:r>
        <w:tab/>
        <w:t>Suspension de l’exécution par la Commission</w:t>
      </w:r>
      <w:bookmarkEnd w:id="60"/>
      <w:bookmarkEnd w:id="61"/>
    </w:p>
    <w:p w14:paraId="3BBB8C2D" w14:textId="77777777" w:rsidR="00D30E81" w:rsidRPr="00D06D68" w:rsidRDefault="00D30E81" w:rsidP="00797757">
      <w:pPr>
        <w:pStyle w:val="Heading4"/>
        <w:spacing w:before="100" w:beforeAutospacing="1" w:after="100" w:afterAutospacing="1"/>
      </w:pPr>
      <w:r>
        <w:t>II.16.2.1 Motifs de la suspension</w:t>
      </w:r>
    </w:p>
    <w:p w14:paraId="3BBB8C2E" w14:textId="77777777" w:rsidR="00D30E81" w:rsidRPr="004264AF" w:rsidRDefault="00D30E81" w:rsidP="001C2768">
      <w:pPr>
        <w:tabs>
          <w:tab w:val="left" w:pos="1134"/>
        </w:tabs>
        <w:spacing w:before="100" w:beforeAutospacing="1" w:after="0" w:line="240" w:lineRule="auto"/>
        <w:ind w:left="1134" w:hanging="1134"/>
        <w:jc w:val="both"/>
        <w:rPr>
          <w:szCs w:val="24"/>
        </w:rPr>
      </w:pPr>
      <w:r>
        <w:t>La Commission peut suspendre l’exécution de tout ou partie de l’</w:t>
      </w:r>
      <w:r>
        <w:rPr>
          <w:i/>
          <w:szCs w:val="24"/>
        </w:rPr>
        <w:t>action</w:t>
      </w:r>
      <w:r>
        <w:t>:</w:t>
      </w:r>
    </w:p>
    <w:p w14:paraId="285EC5A4" w14:textId="77777777" w:rsidR="00661FC5" w:rsidRPr="00661FC5" w:rsidRDefault="00D30E81" w:rsidP="002A6FB7">
      <w:pPr>
        <w:pStyle w:val="ListParagraph"/>
        <w:numPr>
          <w:ilvl w:val="0"/>
          <w:numId w:val="24"/>
        </w:numPr>
        <w:spacing w:after="100" w:afterAutospacing="1" w:line="240" w:lineRule="auto"/>
        <w:jc w:val="both"/>
        <w:rPr>
          <w:szCs w:val="24"/>
        </w:rPr>
      </w:pPr>
      <w:r>
        <w:t xml:space="preserve">si elle détient la preuve que le bénéficiaire a commis des </w:t>
      </w:r>
      <w:r w:rsidRPr="00661FC5">
        <w:rPr>
          <w:i/>
          <w:szCs w:val="24"/>
        </w:rPr>
        <w:t>irrégularités</w:t>
      </w:r>
      <w:r>
        <w:t xml:space="preserve">, une </w:t>
      </w:r>
      <w:r w:rsidRPr="00661FC5">
        <w:rPr>
          <w:i/>
          <w:szCs w:val="24"/>
        </w:rPr>
        <w:t>fraude</w:t>
      </w:r>
      <w:r>
        <w:t xml:space="preserve"> ou une </w:t>
      </w:r>
      <w:r w:rsidRPr="00661FC5">
        <w:rPr>
          <w:i/>
          <w:szCs w:val="24"/>
        </w:rPr>
        <w:t>violation d’obligations</w:t>
      </w:r>
      <w:r>
        <w:t xml:space="preserve"> dans le cadre de la procédure d’attribution ou lors de l’exécution de la convention;</w:t>
      </w:r>
    </w:p>
    <w:p w14:paraId="3BBB8C30" w14:textId="6263C3E3" w:rsidR="00D30E81" w:rsidRPr="00661FC5" w:rsidRDefault="00D30E81" w:rsidP="002A6FB7">
      <w:pPr>
        <w:pStyle w:val="ListParagraph"/>
        <w:numPr>
          <w:ilvl w:val="0"/>
          <w:numId w:val="24"/>
        </w:numPr>
        <w:spacing w:after="100" w:afterAutospacing="1" w:line="240" w:lineRule="auto"/>
        <w:jc w:val="both"/>
        <w:rPr>
          <w:szCs w:val="24"/>
        </w:rPr>
      </w:pPr>
      <w:r>
        <w:t xml:space="preserve">si elle détient la preuve que le bénéficiaire a commis des </w:t>
      </w:r>
      <w:r w:rsidRPr="00661FC5">
        <w:rPr>
          <w:i/>
          <w:szCs w:val="24"/>
        </w:rPr>
        <w:t>irrégularités</w:t>
      </w:r>
      <w:r>
        <w:t xml:space="preserve">, une </w:t>
      </w:r>
      <w:r w:rsidRPr="00661FC5">
        <w:rPr>
          <w:i/>
          <w:szCs w:val="24"/>
        </w:rPr>
        <w:t>fraude</w:t>
      </w:r>
      <w:r>
        <w:t xml:space="preserve"> ou une grave </w:t>
      </w:r>
      <w:r w:rsidRPr="00661FC5">
        <w:rPr>
          <w:i/>
          <w:szCs w:val="24"/>
        </w:rPr>
        <w:t>violation d’obligations</w:t>
      </w:r>
      <w:r>
        <w:t xml:space="preserve">, systémiques ou récurrentes, au titre d’autres subventions financées par l’Union ou la Communauté européenne de l’énergie atomique («Euratom»), octroyées à des conditions similaires, et que ces </w:t>
      </w:r>
      <w:r w:rsidRPr="00661FC5">
        <w:rPr>
          <w:i/>
          <w:szCs w:val="24"/>
        </w:rPr>
        <w:t>irrégularités</w:t>
      </w:r>
      <w:r>
        <w:t xml:space="preserve">, </w:t>
      </w:r>
      <w:r w:rsidRPr="00661FC5">
        <w:rPr>
          <w:i/>
          <w:szCs w:val="24"/>
        </w:rPr>
        <w:t>fraude</w:t>
      </w:r>
      <w:r>
        <w:t xml:space="preserve"> ou </w:t>
      </w:r>
      <w:r w:rsidRPr="00661FC5">
        <w:rPr>
          <w:i/>
          <w:szCs w:val="24"/>
        </w:rPr>
        <w:t>violation d’obligations</w:t>
      </w:r>
      <w:r>
        <w:t xml:space="preserve"> ont une incidence substantielle sur la subvention; ou</w:t>
      </w:r>
    </w:p>
    <w:p w14:paraId="3BBB8C31" w14:textId="71BDC29D" w:rsidR="00D30E81" w:rsidRPr="004264AF" w:rsidRDefault="00D30E81" w:rsidP="002A6FB7">
      <w:pPr>
        <w:numPr>
          <w:ilvl w:val="0"/>
          <w:numId w:val="24"/>
        </w:numPr>
        <w:spacing w:before="100" w:beforeAutospacing="1" w:after="100" w:afterAutospacing="1" w:line="240" w:lineRule="auto"/>
        <w:ind w:left="709" w:hanging="425"/>
        <w:jc w:val="both"/>
        <w:rPr>
          <w:szCs w:val="24"/>
        </w:rPr>
      </w:pPr>
      <w:r>
        <w:t xml:space="preserve">si elle soupçonne le bénéficiaire d’avoir commis des </w:t>
      </w:r>
      <w:r>
        <w:rPr>
          <w:i/>
          <w:szCs w:val="24"/>
        </w:rPr>
        <w:t>irrégularités</w:t>
      </w:r>
      <w:r>
        <w:t xml:space="preserve">, une </w:t>
      </w:r>
      <w:r>
        <w:rPr>
          <w:i/>
          <w:szCs w:val="24"/>
        </w:rPr>
        <w:t>fraude</w:t>
      </w:r>
      <w:r>
        <w:t xml:space="preserve"> ou une </w:t>
      </w:r>
      <w:r>
        <w:rPr>
          <w:i/>
          <w:szCs w:val="24"/>
        </w:rPr>
        <w:t>violation d’obligations</w:t>
      </w:r>
      <w:r>
        <w:t xml:space="preserve"> dans le cadre de la procédure d’attribution ou lors de l’exécution de la convention, et a besoin de vérifier si ses soupçons sont fondés.</w:t>
      </w:r>
    </w:p>
    <w:p w14:paraId="3BBB8C32" w14:textId="77777777" w:rsidR="00D30E81" w:rsidRPr="00D06D68" w:rsidRDefault="00D30E81" w:rsidP="00797757">
      <w:pPr>
        <w:pStyle w:val="Heading4"/>
        <w:spacing w:before="100" w:beforeAutospacing="1" w:after="100" w:afterAutospacing="1"/>
      </w:pPr>
      <w:r>
        <w:t>II.16.2.2 Procédure de suspension</w:t>
      </w:r>
    </w:p>
    <w:p w14:paraId="3BBB8C33" w14:textId="17DFED16" w:rsidR="00D30E81" w:rsidRPr="004264AF" w:rsidRDefault="00D30E81" w:rsidP="001C2768">
      <w:pPr>
        <w:spacing w:before="100" w:beforeAutospacing="1" w:after="0" w:line="240" w:lineRule="auto"/>
        <w:jc w:val="both"/>
        <w:rPr>
          <w:szCs w:val="24"/>
        </w:rPr>
      </w:pPr>
      <w:r>
        <w:rPr>
          <w:b/>
          <w:szCs w:val="24"/>
        </w:rPr>
        <w:t>Étape 1</w:t>
      </w:r>
      <w:r>
        <w:t xml:space="preserve"> Avant de suspendre l’exécution de l’</w:t>
      </w:r>
      <w:r>
        <w:rPr>
          <w:i/>
          <w:szCs w:val="24"/>
        </w:rPr>
        <w:t>action</w:t>
      </w:r>
      <w:r>
        <w:t xml:space="preserve">, la Commission doit adresser une </w:t>
      </w:r>
      <w:r>
        <w:rPr>
          <w:i/>
          <w:szCs w:val="24"/>
        </w:rPr>
        <w:t>notification formelle</w:t>
      </w:r>
      <w:r>
        <w:t xml:space="preserve"> au bénéficiaire:</w:t>
      </w:r>
    </w:p>
    <w:p w14:paraId="3BBB8C34" w14:textId="1767E2F8" w:rsidR="00D30E81" w:rsidRPr="00D522D7" w:rsidRDefault="00D30E81" w:rsidP="002A6FB7">
      <w:pPr>
        <w:pStyle w:val="ListParagraph"/>
        <w:numPr>
          <w:ilvl w:val="0"/>
          <w:numId w:val="74"/>
        </w:numPr>
        <w:spacing w:after="0" w:line="240" w:lineRule="auto"/>
        <w:jc w:val="both"/>
        <w:rPr>
          <w:szCs w:val="24"/>
        </w:rPr>
      </w:pPr>
      <w:r>
        <w:t>l’informant:</w:t>
      </w:r>
    </w:p>
    <w:p w14:paraId="3BBB8C35" w14:textId="4E25A6B0" w:rsidR="00D30E81" w:rsidRPr="00D522D7" w:rsidRDefault="00D30E81" w:rsidP="002A6FB7">
      <w:pPr>
        <w:pStyle w:val="ListParagraph"/>
        <w:numPr>
          <w:ilvl w:val="0"/>
          <w:numId w:val="25"/>
        </w:numPr>
        <w:spacing w:after="100" w:afterAutospacing="1" w:line="240" w:lineRule="auto"/>
        <w:jc w:val="both"/>
        <w:rPr>
          <w:szCs w:val="24"/>
        </w:rPr>
      </w:pPr>
      <w:r>
        <w:t>de son intention de suspendre l’exécution;</w:t>
      </w:r>
    </w:p>
    <w:p w14:paraId="3BBB8C36" w14:textId="77777777" w:rsidR="00D30E81" w:rsidRPr="004264AF" w:rsidRDefault="00D30E81" w:rsidP="002A6FB7">
      <w:pPr>
        <w:numPr>
          <w:ilvl w:val="0"/>
          <w:numId w:val="25"/>
        </w:numPr>
        <w:spacing w:before="100" w:beforeAutospacing="1" w:after="100" w:afterAutospacing="1" w:line="240" w:lineRule="auto"/>
        <w:ind w:left="1418" w:hanging="567"/>
        <w:jc w:val="both"/>
        <w:rPr>
          <w:szCs w:val="24"/>
        </w:rPr>
      </w:pPr>
      <w:r>
        <w:t>des motifs de la suspension;</w:t>
      </w:r>
    </w:p>
    <w:p w14:paraId="3BBB8C37" w14:textId="77777777" w:rsidR="00D30E81" w:rsidRPr="004264AF" w:rsidRDefault="00D30E81" w:rsidP="002A6FB7">
      <w:pPr>
        <w:numPr>
          <w:ilvl w:val="0"/>
          <w:numId w:val="25"/>
        </w:numPr>
        <w:spacing w:before="100" w:beforeAutospacing="1" w:after="0" w:line="240" w:lineRule="auto"/>
        <w:ind w:left="1418" w:hanging="567"/>
        <w:jc w:val="both"/>
        <w:rPr>
          <w:szCs w:val="24"/>
        </w:rPr>
      </w:pPr>
      <w:r>
        <w:t>des conditions nécessaires à la reprise de l’exécution dans les cas visés à l’article II.16.2.1, points a) et b); et</w:t>
      </w:r>
    </w:p>
    <w:p w14:paraId="3BBB8C38" w14:textId="77D11987" w:rsidR="00D30E81" w:rsidRPr="00D522D7" w:rsidRDefault="00D30E81" w:rsidP="002A6FB7">
      <w:pPr>
        <w:pStyle w:val="ListParagraph"/>
        <w:numPr>
          <w:ilvl w:val="0"/>
          <w:numId w:val="74"/>
        </w:numPr>
        <w:spacing w:after="100" w:afterAutospacing="1" w:line="240" w:lineRule="auto"/>
        <w:jc w:val="both"/>
        <w:rPr>
          <w:szCs w:val="24"/>
        </w:rPr>
      </w:pPr>
      <w:r>
        <w:t xml:space="preserve">l’invitant à formuler des observations dans les 30 jours civils suivant la réception de la </w:t>
      </w:r>
      <w:r w:rsidRPr="00D522D7">
        <w:rPr>
          <w:i/>
          <w:szCs w:val="24"/>
        </w:rPr>
        <w:t>notification formelle</w:t>
      </w:r>
      <w:r>
        <w:t>.</w:t>
      </w:r>
    </w:p>
    <w:p w14:paraId="3BBB8C39" w14:textId="049715A0" w:rsidR="00D30E81" w:rsidRPr="004264AF" w:rsidRDefault="00D30E81" w:rsidP="001C2768">
      <w:pPr>
        <w:spacing w:before="100" w:beforeAutospacing="1" w:after="0" w:line="240" w:lineRule="auto"/>
        <w:jc w:val="both"/>
        <w:rPr>
          <w:szCs w:val="24"/>
        </w:rPr>
      </w:pPr>
      <w:r>
        <w:rPr>
          <w:b/>
          <w:szCs w:val="24"/>
        </w:rPr>
        <w:t>Étape 2</w:t>
      </w:r>
      <w:r>
        <w:t xml:space="preserve"> Si la Commission ne reçoit pas d’observations ou décide de maintenir la procédure malgré les observations reçues, elle doit adresser au bénéficiaire une </w:t>
      </w:r>
      <w:r>
        <w:rPr>
          <w:i/>
          <w:szCs w:val="24"/>
        </w:rPr>
        <w:t>notification formelle</w:t>
      </w:r>
      <w:r>
        <w:t xml:space="preserve"> l’informant:</w:t>
      </w:r>
    </w:p>
    <w:p w14:paraId="353C00EA" w14:textId="77777777" w:rsidR="00292139" w:rsidRPr="00292139" w:rsidRDefault="00D30E81" w:rsidP="002A6FB7">
      <w:pPr>
        <w:pStyle w:val="ListParagraph"/>
        <w:numPr>
          <w:ilvl w:val="0"/>
          <w:numId w:val="26"/>
        </w:numPr>
        <w:spacing w:after="100" w:afterAutospacing="1" w:line="240" w:lineRule="auto"/>
        <w:jc w:val="both"/>
        <w:rPr>
          <w:szCs w:val="24"/>
        </w:rPr>
      </w:pPr>
      <w:r>
        <w:t>de la suspension de l’exécution;</w:t>
      </w:r>
    </w:p>
    <w:p w14:paraId="568D675E" w14:textId="77777777" w:rsidR="00292139" w:rsidRPr="00292139" w:rsidRDefault="00D30E81" w:rsidP="002A6FB7">
      <w:pPr>
        <w:pStyle w:val="ListParagraph"/>
        <w:numPr>
          <w:ilvl w:val="0"/>
          <w:numId w:val="26"/>
        </w:numPr>
        <w:spacing w:after="100" w:afterAutospacing="1" w:line="240" w:lineRule="auto"/>
        <w:jc w:val="both"/>
        <w:rPr>
          <w:szCs w:val="24"/>
        </w:rPr>
      </w:pPr>
      <w:r>
        <w:t>des motifs de la suspension; et</w:t>
      </w:r>
    </w:p>
    <w:p w14:paraId="7E5FE270" w14:textId="77777777" w:rsidR="00292139" w:rsidRPr="00292139" w:rsidRDefault="00D30E81" w:rsidP="002A6FB7">
      <w:pPr>
        <w:pStyle w:val="ListParagraph"/>
        <w:numPr>
          <w:ilvl w:val="0"/>
          <w:numId w:val="26"/>
        </w:numPr>
        <w:spacing w:after="100" w:afterAutospacing="1" w:line="240" w:lineRule="auto"/>
        <w:jc w:val="both"/>
        <w:rPr>
          <w:szCs w:val="24"/>
        </w:rPr>
      </w:pPr>
      <w:r>
        <w:t>des conditions définitives de reprise de l’exécution dans les cas visés à l’article II.16.2.1, points a) et b); ou</w:t>
      </w:r>
    </w:p>
    <w:p w14:paraId="3BBB8C3D" w14:textId="12A5D16C" w:rsidR="00D30E81" w:rsidRPr="00292139" w:rsidRDefault="00D30E81" w:rsidP="002A6FB7">
      <w:pPr>
        <w:pStyle w:val="ListParagraph"/>
        <w:numPr>
          <w:ilvl w:val="0"/>
          <w:numId w:val="26"/>
        </w:numPr>
        <w:spacing w:after="100" w:afterAutospacing="1" w:line="240" w:lineRule="auto"/>
        <w:jc w:val="both"/>
        <w:rPr>
          <w:szCs w:val="24"/>
        </w:rPr>
      </w:pPr>
      <w:r>
        <w:t>de la date indicative d’achèvement de la vérification nécessaire dans le cas visé à l’article II.16.2.1, point c).</w:t>
      </w:r>
    </w:p>
    <w:p w14:paraId="3BBB8C3E" w14:textId="77777777" w:rsidR="00D30E81" w:rsidRPr="004264AF" w:rsidRDefault="00D30E81" w:rsidP="001C2768">
      <w:pPr>
        <w:spacing w:before="100" w:beforeAutospacing="1" w:after="100" w:afterAutospacing="1" w:line="240" w:lineRule="auto"/>
        <w:jc w:val="both"/>
        <w:rPr>
          <w:szCs w:val="24"/>
        </w:rPr>
      </w:pPr>
      <w:r>
        <w:t xml:space="preserve">La suspension prend effet à la date de réception de la </w:t>
      </w:r>
      <w:r>
        <w:rPr>
          <w:i/>
          <w:szCs w:val="24"/>
        </w:rPr>
        <w:t>notification formelle</w:t>
      </w:r>
      <w:r>
        <w:t xml:space="preserve"> par le bénéficiaire ou à toute date ultérieure précisée dans la </w:t>
      </w:r>
      <w:r>
        <w:rPr>
          <w:i/>
          <w:szCs w:val="24"/>
        </w:rPr>
        <w:t>notification formelle</w:t>
      </w:r>
      <w:r>
        <w:t>.</w:t>
      </w:r>
    </w:p>
    <w:p w14:paraId="3BBB8C3F" w14:textId="77777777" w:rsidR="00D30E81" w:rsidRPr="004264AF" w:rsidRDefault="00D30E81" w:rsidP="001C2768">
      <w:pPr>
        <w:spacing w:before="100" w:beforeAutospacing="1" w:after="100" w:afterAutospacing="1" w:line="240" w:lineRule="auto"/>
        <w:jc w:val="both"/>
        <w:rPr>
          <w:szCs w:val="24"/>
        </w:rPr>
      </w:pPr>
      <w:r>
        <w:t xml:space="preserve">Autrement, la Commission doit adresser une </w:t>
      </w:r>
      <w:r>
        <w:rPr>
          <w:i/>
          <w:szCs w:val="24"/>
        </w:rPr>
        <w:t>notification formelle</w:t>
      </w:r>
      <w:r>
        <w:t xml:space="preserve"> au bénéficiaire l’informant qu’elle ne maintient pas la procédure de suspension.</w:t>
      </w:r>
    </w:p>
    <w:p w14:paraId="3BBB8C40" w14:textId="77777777" w:rsidR="00D30E81" w:rsidRPr="00D06D68" w:rsidRDefault="00D30E81" w:rsidP="00797757">
      <w:pPr>
        <w:pStyle w:val="Heading4"/>
        <w:spacing w:before="100" w:beforeAutospacing="1" w:after="100" w:afterAutospacing="1"/>
      </w:pPr>
      <w:r>
        <w:t>II.16.2.3 Reprise de l’exécution</w:t>
      </w:r>
    </w:p>
    <w:p w14:paraId="3BBB8C41" w14:textId="77777777" w:rsidR="00D30E81" w:rsidRPr="004264AF" w:rsidRDefault="00D30E81" w:rsidP="00797757">
      <w:pPr>
        <w:spacing w:before="100" w:beforeAutospacing="1" w:after="100" w:afterAutospacing="1" w:line="240" w:lineRule="auto"/>
        <w:jc w:val="both"/>
        <w:rPr>
          <w:szCs w:val="24"/>
        </w:rPr>
      </w:pPr>
      <w:r>
        <w:t>Aux fins de la reprise de l’exécution, le bénéficiaire doit remplir dès que possible les conditions notifiées et informer la Commission de tout progrès réalisé.</w:t>
      </w:r>
    </w:p>
    <w:p w14:paraId="3BBB8C42" w14:textId="77777777" w:rsidR="00D30E81" w:rsidRPr="004264AF" w:rsidRDefault="00D30E81" w:rsidP="001C2768">
      <w:pPr>
        <w:spacing w:before="100" w:beforeAutospacing="1" w:after="0" w:line="240" w:lineRule="auto"/>
        <w:jc w:val="both"/>
        <w:rPr>
          <w:szCs w:val="24"/>
        </w:rPr>
      </w:pPr>
      <w:r>
        <w:t xml:space="preserve">Si les conditions de reprise de l’exécution sont remplies ou les vérifications nécessaires sont réalisées, la Commission doit adresser une </w:t>
      </w:r>
      <w:r>
        <w:rPr>
          <w:i/>
          <w:szCs w:val="24"/>
        </w:rPr>
        <w:t>notification formelle</w:t>
      </w:r>
      <w:r>
        <w:t xml:space="preserve"> au bénéficiaire:</w:t>
      </w:r>
    </w:p>
    <w:p w14:paraId="4BC2BFF1" w14:textId="77777777" w:rsidR="00116102" w:rsidRPr="00116102" w:rsidRDefault="00D30E81" w:rsidP="002A6FB7">
      <w:pPr>
        <w:pStyle w:val="ListParagraph"/>
        <w:numPr>
          <w:ilvl w:val="0"/>
          <w:numId w:val="27"/>
        </w:numPr>
        <w:spacing w:after="100" w:afterAutospacing="1" w:line="240" w:lineRule="auto"/>
        <w:jc w:val="both"/>
        <w:rPr>
          <w:szCs w:val="24"/>
        </w:rPr>
      </w:pPr>
      <w:r>
        <w:t>l’informant que les conditions de levée de la suspension sont remplies; et</w:t>
      </w:r>
      <w:r w:rsidR="00116102">
        <w:t xml:space="preserve"> </w:t>
      </w:r>
    </w:p>
    <w:p w14:paraId="3BBB8C44" w14:textId="10EF6A03" w:rsidR="00D30E81" w:rsidRPr="00116102" w:rsidRDefault="00D30E81" w:rsidP="002A6FB7">
      <w:pPr>
        <w:pStyle w:val="ListParagraph"/>
        <w:numPr>
          <w:ilvl w:val="0"/>
          <w:numId w:val="27"/>
        </w:numPr>
        <w:spacing w:after="100" w:afterAutospacing="1" w:line="240" w:lineRule="auto"/>
        <w:jc w:val="both"/>
        <w:rPr>
          <w:szCs w:val="24"/>
        </w:rPr>
      </w:pPr>
      <w:r>
        <w:t>l’invitant à présenter une demande d’avenant à la convention, comme le prévoit l’article II.16.3. Cette obligation ne s’applique pas si la convention est résiliée conformément à l’article II.17.1 ou à l’article II.17.2.1, point b), f) ou g).</w:t>
      </w:r>
    </w:p>
    <w:p w14:paraId="3BBB8C45" w14:textId="77777777" w:rsidR="00D30E81" w:rsidRPr="00D06D68" w:rsidRDefault="005A7083" w:rsidP="00797757">
      <w:pPr>
        <w:pStyle w:val="Heading3"/>
        <w:spacing w:before="100" w:beforeAutospacing="1" w:after="100" w:afterAutospacing="1"/>
      </w:pPr>
      <w:bookmarkStart w:id="62" w:name="_Toc441250849"/>
      <w:bookmarkStart w:id="63" w:name="_Toc81831058"/>
      <w:r>
        <w:t>II.16.3 Effets de la suspension</w:t>
      </w:r>
      <w:bookmarkEnd w:id="62"/>
      <w:bookmarkEnd w:id="63"/>
    </w:p>
    <w:p w14:paraId="3BBB8C46" w14:textId="77777777" w:rsidR="00D30E81" w:rsidRPr="004264AF" w:rsidRDefault="00D30E81" w:rsidP="001C2768">
      <w:pPr>
        <w:spacing w:before="100" w:beforeAutospacing="1" w:after="0" w:line="240" w:lineRule="auto"/>
        <w:jc w:val="both"/>
        <w:rPr>
          <w:szCs w:val="24"/>
        </w:rPr>
      </w:pPr>
      <w:r>
        <w:t>Si l’exécution de l’</w:t>
      </w:r>
      <w:r>
        <w:rPr>
          <w:i/>
          <w:szCs w:val="24"/>
        </w:rPr>
        <w:t>action</w:t>
      </w:r>
      <w:r>
        <w:t xml:space="preserve"> peut être reprise et si la convention n’a pas été résiliée, celle-ci doit faire l’objet d’un avenant conformément à l’article II.13 pour:</w:t>
      </w:r>
    </w:p>
    <w:p w14:paraId="1E24D44F" w14:textId="77777777" w:rsidR="004C2FA4" w:rsidRPr="004C2FA4" w:rsidRDefault="00D30E81" w:rsidP="002A6FB7">
      <w:pPr>
        <w:pStyle w:val="ListParagraph"/>
        <w:numPr>
          <w:ilvl w:val="0"/>
          <w:numId w:val="28"/>
        </w:numPr>
        <w:spacing w:after="100" w:afterAutospacing="1" w:line="240" w:lineRule="auto"/>
        <w:jc w:val="both"/>
        <w:rPr>
          <w:szCs w:val="24"/>
        </w:rPr>
      </w:pPr>
      <w:r>
        <w:t>fixer la date de reprise de l’</w:t>
      </w:r>
      <w:r w:rsidRPr="004C2FA4">
        <w:rPr>
          <w:i/>
          <w:szCs w:val="24"/>
        </w:rPr>
        <w:t>action</w:t>
      </w:r>
      <w:r>
        <w:t>;</w:t>
      </w:r>
    </w:p>
    <w:p w14:paraId="3BE6D694" w14:textId="77777777" w:rsidR="004C2FA4" w:rsidRPr="004C2FA4" w:rsidRDefault="00D30E81" w:rsidP="002A6FB7">
      <w:pPr>
        <w:pStyle w:val="ListParagraph"/>
        <w:numPr>
          <w:ilvl w:val="0"/>
          <w:numId w:val="28"/>
        </w:numPr>
        <w:spacing w:after="100" w:afterAutospacing="1" w:line="240" w:lineRule="auto"/>
        <w:jc w:val="both"/>
        <w:rPr>
          <w:szCs w:val="24"/>
        </w:rPr>
      </w:pPr>
      <w:r>
        <w:t>prolonger la durée de l’</w:t>
      </w:r>
      <w:r w:rsidRPr="004C2FA4">
        <w:rPr>
          <w:i/>
          <w:szCs w:val="24"/>
        </w:rPr>
        <w:t>action</w:t>
      </w:r>
      <w:r>
        <w:t>; et</w:t>
      </w:r>
    </w:p>
    <w:p w14:paraId="3BBB8C49" w14:textId="090264EF" w:rsidR="00D30E81" w:rsidRPr="004C2FA4" w:rsidRDefault="00D30E81" w:rsidP="002A6FB7">
      <w:pPr>
        <w:pStyle w:val="ListParagraph"/>
        <w:numPr>
          <w:ilvl w:val="0"/>
          <w:numId w:val="28"/>
        </w:numPr>
        <w:spacing w:after="100" w:afterAutospacing="1" w:line="240" w:lineRule="auto"/>
        <w:jc w:val="both"/>
        <w:rPr>
          <w:szCs w:val="24"/>
        </w:rPr>
      </w:pPr>
      <w:r>
        <w:t>apporter toute autre modification nécessaire pour adapter l’</w:t>
      </w:r>
      <w:r w:rsidRPr="004C2FA4">
        <w:rPr>
          <w:i/>
          <w:szCs w:val="24"/>
        </w:rPr>
        <w:t>action</w:t>
      </w:r>
      <w:r>
        <w:t xml:space="preserve"> à la nouvelle situation.</w:t>
      </w:r>
    </w:p>
    <w:p w14:paraId="3BBB8C4A" w14:textId="77777777" w:rsidR="00D30E81" w:rsidRPr="004264AF" w:rsidRDefault="00D30E81" w:rsidP="00797757">
      <w:pPr>
        <w:spacing w:before="100" w:beforeAutospacing="1" w:after="100" w:afterAutospacing="1" w:line="240" w:lineRule="auto"/>
        <w:jc w:val="both"/>
        <w:rPr>
          <w:szCs w:val="24"/>
        </w:rPr>
      </w:pPr>
      <w:r>
        <w:t>La suspension est levée à partir de la date de reprise fixée dans l’avenant. Cette date peut être antérieure à la date à laquelle l’avenant entre en vigueur.</w:t>
      </w:r>
    </w:p>
    <w:p w14:paraId="3BBB8C4B" w14:textId="77777777" w:rsidR="00D30E81" w:rsidRPr="004264AF" w:rsidRDefault="00D30E81" w:rsidP="00797757">
      <w:pPr>
        <w:spacing w:before="100" w:beforeAutospacing="1" w:after="100" w:afterAutospacing="1" w:line="240" w:lineRule="auto"/>
        <w:jc w:val="both"/>
        <w:rPr>
          <w:szCs w:val="24"/>
        </w:rPr>
      </w:pPr>
      <w:r>
        <w:t>Les coûts exposés pendant la période de suspension qui se rapportent à l’exécution de l’</w:t>
      </w:r>
      <w:r>
        <w:rPr>
          <w:i/>
          <w:szCs w:val="24"/>
        </w:rPr>
        <w:t>action</w:t>
      </w:r>
      <w:r>
        <w:t xml:space="preserve"> suspendue ou de la partie suspendue de celle-ci ne peuvent pas être remboursés ni couverts par la subvention.  </w:t>
      </w:r>
    </w:p>
    <w:p w14:paraId="3BBB8C4C" w14:textId="77777777" w:rsidR="00D30E81" w:rsidRPr="004264AF" w:rsidRDefault="00D30E81" w:rsidP="00797757">
      <w:pPr>
        <w:spacing w:before="100" w:beforeAutospacing="1" w:after="100" w:afterAutospacing="1" w:line="240" w:lineRule="auto"/>
        <w:jc w:val="both"/>
        <w:rPr>
          <w:szCs w:val="24"/>
        </w:rPr>
      </w:pPr>
      <w:r>
        <w:t>La suspension de l’exécution de l’</w:t>
      </w:r>
      <w:r>
        <w:rPr>
          <w:i/>
          <w:szCs w:val="24"/>
        </w:rPr>
        <w:t>action</w:t>
      </w:r>
      <w:r>
        <w:t xml:space="preserve"> ne modifie en rien le droit de la Commission de résilier la convention conformément à l’article II.17.2, de réduire la subvention ou de recouvrer les montants indûment versés conformément aux articles II.25.4 et II.26.</w:t>
      </w:r>
    </w:p>
    <w:p w14:paraId="3BBB8C4D" w14:textId="77777777" w:rsidR="00D30E81" w:rsidRDefault="00D30E81" w:rsidP="00797757">
      <w:pPr>
        <w:spacing w:before="100" w:beforeAutospacing="1" w:after="100" w:afterAutospacing="1" w:line="240" w:lineRule="auto"/>
        <w:jc w:val="both"/>
        <w:rPr>
          <w:szCs w:val="24"/>
        </w:rPr>
      </w:pPr>
      <w:r>
        <w:t>Aucune partie ne peut réclamer de dommages et intérêts en cas de suspension décidée par l’autre partie.</w:t>
      </w:r>
    </w:p>
    <w:p w14:paraId="3BBB8C4E" w14:textId="146A65C6" w:rsidR="00D30E81" w:rsidRPr="001A04C2" w:rsidRDefault="00C03303" w:rsidP="00797757">
      <w:pPr>
        <w:pStyle w:val="Heading2"/>
        <w:spacing w:before="100" w:beforeAutospacing="1" w:after="100" w:afterAutospacing="1"/>
      </w:pPr>
      <w:bookmarkStart w:id="64" w:name="_Toc441250850"/>
      <w:bookmarkStart w:id="65" w:name="_Toc81831059"/>
      <w:r>
        <w:t>ARTICLE II.17 – RÉSILIATION DE LA CONVENTION</w:t>
      </w:r>
      <w:bookmarkEnd w:id="64"/>
      <w:bookmarkEnd w:id="65"/>
    </w:p>
    <w:p w14:paraId="3BBB8C4F" w14:textId="77777777" w:rsidR="00D30E81" w:rsidRPr="00D06D68" w:rsidRDefault="00D30E81" w:rsidP="00797757">
      <w:pPr>
        <w:pStyle w:val="Heading3"/>
        <w:spacing w:before="100" w:beforeAutospacing="1" w:after="100" w:afterAutospacing="1"/>
      </w:pPr>
      <w:bookmarkStart w:id="66" w:name="_Toc81831060"/>
      <w:r>
        <w:t>II.17.1</w:t>
      </w:r>
      <w:r>
        <w:tab/>
      </w:r>
      <w:bookmarkStart w:id="67" w:name="_Toc441250851"/>
      <w:r>
        <w:t>Résiliation de la convention par le</w:t>
      </w:r>
      <w:bookmarkEnd w:id="67"/>
      <w:r>
        <w:t xml:space="preserve"> bénéficiaire</w:t>
      </w:r>
      <w:bookmarkEnd w:id="66"/>
    </w:p>
    <w:p w14:paraId="3BBB8C50" w14:textId="77777777" w:rsidR="00D30E81" w:rsidRPr="004264AF" w:rsidRDefault="00D30E81" w:rsidP="00797757">
      <w:pPr>
        <w:spacing w:before="100" w:beforeAutospacing="1" w:after="100" w:afterAutospacing="1" w:line="240" w:lineRule="auto"/>
        <w:jc w:val="both"/>
        <w:rPr>
          <w:szCs w:val="24"/>
        </w:rPr>
      </w:pPr>
      <w:r>
        <w:t>Le bénéficiaire peut résilier la convention.</w:t>
      </w:r>
    </w:p>
    <w:p w14:paraId="3BBB8C51" w14:textId="77777777" w:rsidR="00D30E81" w:rsidRPr="004264AF" w:rsidRDefault="00D30E81" w:rsidP="001C2768">
      <w:pPr>
        <w:spacing w:before="100" w:beforeAutospacing="1" w:after="0" w:line="240" w:lineRule="auto"/>
        <w:jc w:val="both"/>
        <w:rPr>
          <w:szCs w:val="24"/>
        </w:rPr>
      </w:pPr>
      <w:r>
        <w:t xml:space="preserve">Le bénéficiaire doit adresser à la Commission une </w:t>
      </w:r>
      <w:r>
        <w:rPr>
          <w:i/>
          <w:szCs w:val="24"/>
        </w:rPr>
        <w:t>notification formelle</w:t>
      </w:r>
      <w:r>
        <w:t xml:space="preserve"> de résiliation, précisant:</w:t>
      </w:r>
    </w:p>
    <w:p w14:paraId="4389F1BB" w14:textId="77777777" w:rsidR="007955F9" w:rsidRPr="007955F9" w:rsidRDefault="00D30E81" w:rsidP="002A6FB7">
      <w:pPr>
        <w:pStyle w:val="ListParagraph"/>
        <w:numPr>
          <w:ilvl w:val="0"/>
          <w:numId w:val="29"/>
        </w:numPr>
        <w:spacing w:after="100" w:afterAutospacing="1" w:line="240" w:lineRule="auto"/>
        <w:jc w:val="both"/>
        <w:rPr>
          <w:szCs w:val="24"/>
        </w:rPr>
      </w:pPr>
      <w:r>
        <w:t>les motifs de la résiliation; et</w:t>
      </w:r>
    </w:p>
    <w:p w14:paraId="3BBB8C53" w14:textId="7777A1DF" w:rsidR="00D30E81" w:rsidRPr="007955F9" w:rsidRDefault="00D30E81" w:rsidP="002A6FB7">
      <w:pPr>
        <w:pStyle w:val="ListParagraph"/>
        <w:numPr>
          <w:ilvl w:val="0"/>
          <w:numId w:val="29"/>
        </w:numPr>
        <w:spacing w:after="100" w:afterAutospacing="1" w:line="240" w:lineRule="auto"/>
        <w:jc w:val="both"/>
        <w:rPr>
          <w:szCs w:val="24"/>
        </w:rPr>
      </w:pPr>
      <w:r>
        <w:t xml:space="preserve">la date à laquelle la résiliation prend effet. Cette date doit être postérieure à la </w:t>
      </w:r>
      <w:r w:rsidRPr="007955F9">
        <w:rPr>
          <w:i/>
          <w:szCs w:val="24"/>
        </w:rPr>
        <w:t>notification formelle</w:t>
      </w:r>
      <w:r>
        <w:t>.</w:t>
      </w:r>
    </w:p>
    <w:p w14:paraId="3BBB8C54" w14:textId="77777777" w:rsidR="00D30E81" w:rsidRPr="004264AF" w:rsidRDefault="00D30E81" w:rsidP="00797757">
      <w:pPr>
        <w:spacing w:before="100" w:beforeAutospacing="1" w:after="100" w:afterAutospacing="1" w:line="240" w:lineRule="auto"/>
        <w:jc w:val="both"/>
        <w:rPr>
          <w:szCs w:val="24"/>
        </w:rPr>
      </w:pPr>
      <w:r>
        <w:t>Si le bénéficiaire ne mentionne pas les motifs de la résiliation ou si la Commission considère que les motifs ne justifient pas la résiliation, la convention est réputée avoir été résiliée de manière abusive.</w:t>
      </w:r>
    </w:p>
    <w:p w14:paraId="3BBB8C55" w14:textId="77777777" w:rsidR="00D30E81" w:rsidRPr="004264AF" w:rsidRDefault="00D30E81" w:rsidP="00797757">
      <w:pPr>
        <w:spacing w:before="100" w:beforeAutospacing="1" w:after="100" w:afterAutospacing="1" w:line="240" w:lineRule="auto"/>
        <w:jc w:val="both"/>
        <w:rPr>
          <w:szCs w:val="24"/>
        </w:rPr>
      </w:pPr>
      <w:r>
        <w:t xml:space="preserve">La résiliation prend effet à la date indiquée dans la </w:t>
      </w:r>
      <w:r>
        <w:rPr>
          <w:i/>
          <w:szCs w:val="24"/>
        </w:rPr>
        <w:t>notification formelle</w:t>
      </w:r>
      <w:r>
        <w:t>.</w:t>
      </w:r>
    </w:p>
    <w:p w14:paraId="3BBB8C56" w14:textId="77777777" w:rsidR="00D30E81" w:rsidRPr="00D06D68" w:rsidRDefault="00D30E81" w:rsidP="00797757">
      <w:pPr>
        <w:pStyle w:val="Heading3"/>
        <w:spacing w:before="100" w:beforeAutospacing="1" w:after="100" w:afterAutospacing="1"/>
      </w:pPr>
      <w:bookmarkStart w:id="68" w:name="_Toc441250853"/>
      <w:bookmarkStart w:id="69" w:name="_Toc81831061"/>
      <w:r>
        <w:t>II.17.2</w:t>
      </w:r>
      <w:r>
        <w:tab/>
        <w:t>Résiliation de la convention par la Commission</w:t>
      </w:r>
      <w:bookmarkEnd w:id="68"/>
      <w:bookmarkEnd w:id="69"/>
    </w:p>
    <w:p w14:paraId="3BBB8C57" w14:textId="77777777" w:rsidR="00D30E81" w:rsidRPr="00D06D68" w:rsidRDefault="00D30E81" w:rsidP="00797757">
      <w:pPr>
        <w:pStyle w:val="Heading4"/>
        <w:spacing w:before="100" w:beforeAutospacing="1" w:after="100" w:afterAutospacing="1"/>
      </w:pPr>
      <w:r>
        <w:t>II.17.2.1</w:t>
      </w:r>
      <w:r>
        <w:tab/>
        <w:t>Motifs de la résiliation</w:t>
      </w:r>
    </w:p>
    <w:p w14:paraId="3BBB8C58" w14:textId="77777777" w:rsidR="00D30E81" w:rsidRPr="004264AF" w:rsidRDefault="00D30E81" w:rsidP="001C2768">
      <w:pPr>
        <w:spacing w:before="100" w:beforeAutospacing="1" w:after="0" w:line="240" w:lineRule="auto"/>
        <w:jc w:val="both"/>
        <w:rPr>
          <w:szCs w:val="24"/>
        </w:rPr>
      </w:pPr>
      <w:r>
        <w:t>La Commission peut résilier la convention si:</w:t>
      </w:r>
    </w:p>
    <w:p w14:paraId="3BBB8C59" w14:textId="04B9644B" w:rsidR="00D30E81" w:rsidRPr="000C6CD2" w:rsidRDefault="00D30E81" w:rsidP="002A6FB7">
      <w:pPr>
        <w:pStyle w:val="ListParagraph"/>
        <w:numPr>
          <w:ilvl w:val="0"/>
          <w:numId w:val="30"/>
        </w:numPr>
        <w:spacing w:line="240" w:lineRule="auto"/>
        <w:jc w:val="both"/>
        <w:rPr>
          <w:szCs w:val="24"/>
        </w:rPr>
      </w:pPr>
      <w:r>
        <w:t>un changement juridique, financier, technique, d’organisation ou de contrôle dans la situation du bénéficiaire est susceptible d’affecter l’exécution de la convention de manière substantielle ou de mettre en cause la décision d’attribution de la subvention ou si un changement relatif aux situations d’exclusion énumérées à l’article 136 du règlement (UE) 2018/1046 met en cause la décision d’attribution de la subvention;</w:t>
      </w:r>
    </w:p>
    <w:p w14:paraId="3BBB8C5A" w14:textId="1A09BFEB" w:rsidR="00D30E81" w:rsidRPr="00205981" w:rsidRDefault="00D30E81" w:rsidP="002A6FB7">
      <w:pPr>
        <w:numPr>
          <w:ilvl w:val="0"/>
          <w:numId w:val="30"/>
        </w:numPr>
        <w:spacing w:line="240" w:lineRule="auto"/>
        <w:ind w:left="851" w:hanging="567"/>
        <w:jc w:val="both"/>
        <w:rPr>
          <w:szCs w:val="24"/>
        </w:rPr>
      </w:pPr>
      <w:r>
        <w:t xml:space="preserve">le bénéficiaire, toute </w:t>
      </w:r>
      <w:r>
        <w:rPr>
          <w:i/>
        </w:rPr>
        <w:t>personne liée</w:t>
      </w:r>
      <w:r>
        <w:t xml:space="preserve"> ou toute personne physique qui est essentielle à l’attribution ou à l’exécution de la convention a commis une grave </w:t>
      </w:r>
      <w:r>
        <w:rPr>
          <w:i/>
        </w:rPr>
        <w:t>violation d’obligations</w:t>
      </w:r>
      <w:r>
        <w:t>, notamment par une exécution incorrecte de l’</w:t>
      </w:r>
      <w:r>
        <w:rPr>
          <w:i/>
          <w:szCs w:val="24"/>
        </w:rPr>
        <w:t>action</w:t>
      </w:r>
      <w:r>
        <w:t xml:space="preserve"> telle que décrite à l’annexe I;</w:t>
      </w:r>
    </w:p>
    <w:p w14:paraId="3BBB8C5B" w14:textId="77777777" w:rsidR="00D30E81" w:rsidRPr="00205981" w:rsidRDefault="00D30E81" w:rsidP="002A6FB7">
      <w:pPr>
        <w:numPr>
          <w:ilvl w:val="0"/>
          <w:numId w:val="30"/>
        </w:numPr>
        <w:spacing w:after="0" w:line="240" w:lineRule="auto"/>
        <w:ind w:left="851" w:hanging="567"/>
        <w:jc w:val="both"/>
        <w:rPr>
          <w:szCs w:val="24"/>
        </w:rPr>
      </w:pPr>
      <w:r>
        <w:t>l’exécution de l’</w:t>
      </w:r>
      <w:r>
        <w:rPr>
          <w:i/>
          <w:szCs w:val="24"/>
        </w:rPr>
        <w:t>action</w:t>
      </w:r>
      <w:r>
        <w:t xml:space="preserve"> est empêchée ou suspendue à la suite d’un cas de </w:t>
      </w:r>
      <w:r>
        <w:rPr>
          <w:i/>
          <w:szCs w:val="24"/>
        </w:rPr>
        <w:t>force majeure</w:t>
      </w:r>
      <w:r>
        <w:t xml:space="preserve"> ou de circonstances exceptionnelles et soit:</w:t>
      </w:r>
    </w:p>
    <w:p w14:paraId="3BBB8C5C" w14:textId="2663AD83" w:rsidR="00D30E81" w:rsidRPr="000C6CD2" w:rsidRDefault="00D30E81" w:rsidP="002A6FB7">
      <w:pPr>
        <w:pStyle w:val="ListParagraph"/>
        <w:numPr>
          <w:ilvl w:val="0"/>
          <w:numId w:val="31"/>
        </w:numPr>
        <w:spacing w:after="0" w:line="240" w:lineRule="auto"/>
        <w:ind w:firstLine="131"/>
        <w:jc w:val="both"/>
        <w:rPr>
          <w:szCs w:val="24"/>
        </w:rPr>
      </w:pPr>
      <w:r>
        <w:t>la reprise est impossible; ou</w:t>
      </w:r>
    </w:p>
    <w:p w14:paraId="3BBB8C5D" w14:textId="77777777" w:rsidR="00D30E81" w:rsidRPr="00205981" w:rsidRDefault="00D30E81" w:rsidP="002A6FB7">
      <w:pPr>
        <w:numPr>
          <w:ilvl w:val="0"/>
          <w:numId w:val="31"/>
        </w:numPr>
        <w:spacing w:line="240" w:lineRule="auto"/>
        <w:ind w:left="1418" w:hanging="567"/>
        <w:jc w:val="both"/>
        <w:rPr>
          <w:szCs w:val="24"/>
        </w:rPr>
      </w:pPr>
      <w:r>
        <w:t>les changements à apporter à la convention sont susceptibles de mettre en cause la décision d’attribution de la subvention ou de nuire à l’égalité de traitement entre demandeurs;</w:t>
      </w:r>
    </w:p>
    <w:p w14:paraId="0E3B09AA" w14:textId="3ED59A2A" w:rsidR="003D0321" w:rsidRPr="00205981" w:rsidRDefault="009A1BEA" w:rsidP="002A6FB7">
      <w:pPr>
        <w:numPr>
          <w:ilvl w:val="0"/>
          <w:numId w:val="30"/>
        </w:numPr>
        <w:spacing w:after="0" w:line="240" w:lineRule="auto"/>
        <w:ind w:left="851" w:hanging="567"/>
        <w:jc w:val="both"/>
      </w:pPr>
      <w:r>
        <w:t>le bénéficiaire ou une personne physique ou morale qui répond indéfiniment des dettes du bénéficiaire:</w:t>
      </w:r>
    </w:p>
    <w:p w14:paraId="09EE76A8" w14:textId="3A18CA0B" w:rsidR="003D0321" w:rsidRPr="000C6CD2" w:rsidRDefault="003D0321" w:rsidP="002A6FB7">
      <w:pPr>
        <w:pStyle w:val="ListParagraph"/>
        <w:numPr>
          <w:ilvl w:val="0"/>
          <w:numId w:val="66"/>
        </w:numPr>
        <w:spacing w:after="0" w:line="240" w:lineRule="auto"/>
        <w:ind w:firstLine="131"/>
        <w:jc w:val="both"/>
        <w:rPr>
          <w:szCs w:val="24"/>
        </w:rPr>
      </w:pPr>
      <w:r>
        <w:t>est déclaré en état de faillite ou fait l’objet d’une procédure d’insolvabilité ou de liquidation, ses biens sont administrés par un liquidateur ou sont placés sous administration judiciaire, a conclu un concordat préventif, se trouve en état de cessation d’activités, ou dans toute situation analogue résultant d’une procédure de même nature prévue par le droit de l’Union ou le droit national;</w:t>
      </w:r>
    </w:p>
    <w:p w14:paraId="3BBB8C5E" w14:textId="17F7740B" w:rsidR="00D30E81" w:rsidRPr="00205981" w:rsidRDefault="003D0321" w:rsidP="002A6FB7">
      <w:pPr>
        <w:numPr>
          <w:ilvl w:val="0"/>
          <w:numId w:val="66"/>
        </w:numPr>
        <w:spacing w:line="240" w:lineRule="auto"/>
        <w:ind w:left="1418" w:hanging="567"/>
        <w:jc w:val="both"/>
        <w:rPr>
          <w:szCs w:val="24"/>
        </w:rPr>
      </w:pPr>
      <w:r>
        <w:t xml:space="preserve">n’a pas respecté ses obligations relatives au paiement des impôts ou des cotisations de sécurité sociale conformément au droit applicable; </w:t>
      </w:r>
    </w:p>
    <w:p w14:paraId="383C70D2" w14:textId="77777777" w:rsidR="003D0321" w:rsidRPr="00205981" w:rsidRDefault="009A1BEA" w:rsidP="002A6FB7">
      <w:pPr>
        <w:numPr>
          <w:ilvl w:val="0"/>
          <w:numId w:val="30"/>
        </w:numPr>
        <w:spacing w:after="0" w:line="240" w:lineRule="auto"/>
        <w:ind w:left="851" w:hanging="567"/>
        <w:jc w:val="both"/>
      </w:pPr>
      <w:r>
        <w:t xml:space="preserve">le bénéficiaire ou toute </w:t>
      </w:r>
      <w:r>
        <w:rPr>
          <w:i/>
          <w:szCs w:val="24"/>
        </w:rPr>
        <w:t>personne liée</w:t>
      </w:r>
      <w:r>
        <w:t xml:space="preserve"> ou toute personne physique qui est essentielle à l’attribution ou à l’exécution de la convention s’est livré aux agissements suivants:</w:t>
      </w:r>
    </w:p>
    <w:p w14:paraId="01C0FBC3" w14:textId="5CDC3DBA" w:rsidR="003D0321" w:rsidRPr="00205981" w:rsidRDefault="003D0321" w:rsidP="002A6FB7">
      <w:pPr>
        <w:pStyle w:val="ListParagraph"/>
        <w:numPr>
          <w:ilvl w:val="0"/>
          <w:numId w:val="67"/>
        </w:numPr>
        <w:spacing w:after="0" w:line="240" w:lineRule="auto"/>
        <w:ind w:firstLine="131"/>
        <w:jc w:val="both"/>
      </w:pPr>
      <w:r w:rsidRPr="00120E70">
        <w:rPr>
          <w:i/>
        </w:rPr>
        <w:t>faute professionnelle grave</w:t>
      </w:r>
      <w:r>
        <w:t>, constatée par tout moyen;</w:t>
      </w:r>
    </w:p>
    <w:p w14:paraId="638728A7" w14:textId="77777777" w:rsidR="003D0321" w:rsidRPr="00205981" w:rsidRDefault="003D0321" w:rsidP="002A6FB7">
      <w:pPr>
        <w:numPr>
          <w:ilvl w:val="0"/>
          <w:numId w:val="67"/>
        </w:numPr>
        <w:spacing w:after="0" w:line="240" w:lineRule="auto"/>
        <w:ind w:left="1418" w:hanging="567"/>
        <w:jc w:val="both"/>
      </w:pPr>
      <w:r>
        <w:rPr>
          <w:i/>
        </w:rPr>
        <w:t>fraude</w:t>
      </w:r>
      <w:r>
        <w:t>;</w:t>
      </w:r>
    </w:p>
    <w:p w14:paraId="532F6D14" w14:textId="77777777" w:rsidR="003D0321" w:rsidRPr="00205981" w:rsidRDefault="003D0321" w:rsidP="002A6FB7">
      <w:pPr>
        <w:numPr>
          <w:ilvl w:val="0"/>
          <w:numId w:val="67"/>
        </w:numPr>
        <w:spacing w:after="0" w:line="240" w:lineRule="auto"/>
        <w:ind w:left="1418" w:hanging="567"/>
        <w:jc w:val="both"/>
      </w:pPr>
      <w:r>
        <w:t>corruption;</w:t>
      </w:r>
    </w:p>
    <w:p w14:paraId="5D788403" w14:textId="77777777" w:rsidR="003D0321" w:rsidRPr="00205981" w:rsidRDefault="003D0321" w:rsidP="002A6FB7">
      <w:pPr>
        <w:numPr>
          <w:ilvl w:val="0"/>
          <w:numId w:val="67"/>
        </w:numPr>
        <w:spacing w:after="0" w:line="240" w:lineRule="auto"/>
        <w:ind w:left="1418" w:hanging="567"/>
        <w:jc w:val="both"/>
      </w:pPr>
      <w:r>
        <w:t>comportements liés à des organisations criminelles;</w:t>
      </w:r>
    </w:p>
    <w:p w14:paraId="736D4892" w14:textId="77777777" w:rsidR="003D0321" w:rsidRPr="00205981" w:rsidRDefault="003D0321" w:rsidP="002A6FB7">
      <w:pPr>
        <w:numPr>
          <w:ilvl w:val="0"/>
          <w:numId w:val="67"/>
        </w:numPr>
        <w:spacing w:after="0" w:line="240" w:lineRule="auto"/>
        <w:ind w:left="1418" w:hanging="567"/>
        <w:jc w:val="both"/>
      </w:pPr>
      <w:r>
        <w:t>blanchiment de capitaux;</w:t>
      </w:r>
    </w:p>
    <w:p w14:paraId="4285EEF1" w14:textId="77777777" w:rsidR="003D0321" w:rsidRPr="00205981" w:rsidRDefault="003D0321" w:rsidP="002A6FB7">
      <w:pPr>
        <w:numPr>
          <w:ilvl w:val="0"/>
          <w:numId w:val="67"/>
        </w:numPr>
        <w:spacing w:after="0" w:line="240" w:lineRule="auto"/>
        <w:ind w:left="1418" w:hanging="567"/>
        <w:jc w:val="both"/>
      </w:pPr>
      <w:r>
        <w:t>délits liés au terrorisme (y compris financement du terrorisme);</w:t>
      </w:r>
    </w:p>
    <w:p w14:paraId="3BBB8C5F" w14:textId="1EAFFA2D" w:rsidR="00D30E81" w:rsidRPr="001C2768" w:rsidRDefault="003D0321" w:rsidP="002A6FB7">
      <w:pPr>
        <w:numPr>
          <w:ilvl w:val="0"/>
          <w:numId w:val="67"/>
        </w:numPr>
        <w:spacing w:line="240" w:lineRule="auto"/>
        <w:ind w:left="1418" w:hanging="567"/>
        <w:jc w:val="both"/>
        <w:rPr>
          <w:sz w:val="22"/>
        </w:rPr>
      </w:pPr>
      <w:r>
        <w:t>infractions concernant le travail des enfants ou autres infractions liées à la traite des êtres humains;</w:t>
      </w:r>
    </w:p>
    <w:p w14:paraId="3BBB8C60" w14:textId="7FE1697E" w:rsidR="00D30E81" w:rsidRPr="00205981" w:rsidRDefault="00D30E81" w:rsidP="002A6FB7">
      <w:pPr>
        <w:numPr>
          <w:ilvl w:val="0"/>
          <w:numId w:val="30"/>
        </w:numPr>
        <w:spacing w:line="240" w:lineRule="auto"/>
        <w:ind w:left="851" w:hanging="567"/>
        <w:jc w:val="both"/>
        <w:rPr>
          <w:szCs w:val="24"/>
        </w:rPr>
      </w:pPr>
      <w:r>
        <w:t xml:space="preserve">la Commission détient la preuve que le bénéficiaire ou toute </w:t>
      </w:r>
      <w:r>
        <w:rPr>
          <w:i/>
          <w:szCs w:val="24"/>
        </w:rPr>
        <w:t>personne liée</w:t>
      </w:r>
      <w:r>
        <w:t xml:space="preserve"> ou toute personne physique qui est essentielle à l’attribution ou à l’exécution de la convention a commis des </w:t>
      </w:r>
      <w:r>
        <w:rPr>
          <w:i/>
          <w:szCs w:val="24"/>
        </w:rPr>
        <w:t>irrégularités</w:t>
      </w:r>
      <w:r>
        <w:t xml:space="preserve">, une </w:t>
      </w:r>
      <w:r>
        <w:rPr>
          <w:i/>
          <w:szCs w:val="24"/>
        </w:rPr>
        <w:t>fraude</w:t>
      </w:r>
      <w:r>
        <w:t xml:space="preserve"> ou une </w:t>
      </w:r>
      <w:r>
        <w:rPr>
          <w:i/>
          <w:szCs w:val="24"/>
        </w:rPr>
        <w:t>violation d’obligations</w:t>
      </w:r>
      <w:r>
        <w:t xml:space="preserve"> dans le cadre de la procédure d’attribution ou lors de l’exécution de la convention, notamment si le bénéficiaire, la </w:t>
      </w:r>
      <w:r>
        <w:rPr>
          <w:i/>
          <w:szCs w:val="24"/>
        </w:rPr>
        <w:t>personne liée</w:t>
      </w:r>
      <w:r>
        <w:t xml:space="preserve"> ou la personne physique a communiqué des informations fausses ou n’a pas communiqué les informations requises;</w:t>
      </w:r>
    </w:p>
    <w:p w14:paraId="1E27D9E1" w14:textId="576BDC12" w:rsidR="00F57ECB" w:rsidRPr="00205981" w:rsidRDefault="00D30E81" w:rsidP="002A6FB7">
      <w:pPr>
        <w:numPr>
          <w:ilvl w:val="0"/>
          <w:numId w:val="30"/>
        </w:numPr>
        <w:spacing w:line="240" w:lineRule="auto"/>
        <w:ind w:left="851" w:hanging="567"/>
        <w:jc w:val="both"/>
        <w:rPr>
          <w:szCs w:val="24"/>
        </w:rPr>
      </w:pPr>
      <w:r>
        <w:t xml:space="preserve">la Commission détient la preuve que le bénéficiaire a commis des </w:t>
      </w:r>
      <w:r>
        <w:rPr>
          <w:i/>
          <w:szCs w:val="24"/>
        </w:rPr>
        <w:t>irrégularités</w:t>
      </w:r>
      <w:r>
        <w:t xml:space="preserve">, une </w:t>
      </w:r>
      <w:r>
        <w:rPr>
          <w:i/>
          <w:szCs w:val="24"/>
        </w:rPr>
        <w:t>fraude</w:t>
      </w:r>
      <w:r>
        <w:t xml:space="preserve"> ou une grave </w:t>
      </w:r>
      <w:r>
        <w:rPr>
          <w:i/>
          <w:szCs w:val="24"/>
        </w:rPr>
        <w:t>violation d’obligations</w:t>
      </w:r>
      <w:r>
        <w:t xml:space="preserve">, systémiques ou récurrentes, au titre d’autres subventions octroyées par l’Union ou Euratom à des conditions similaires, et que ces </w:t>
      </w:r>
      <w:r>
        <w:rPr>
          <w:i/>
          <w:szCs w:val="24"/>
        </w:rPr>
        <w:t>irrégularités</w:t>
      </w:r>
      <w:r>
        <w:t xml:space="preserve">, </w:t>
      </w:r>
      <w:r>
        <w:rPr>
          <w:i/>
          <w:szCs w:val="24"/>
        </w:rPr>
        <w:t>fraude</w:t>
      </w:r>
      <w:r>
        <w:t xml:space="preserve"> ou </w:t>
      </w:r>
      <w:r>
        <w:rPr>
          <w:i/>
          <w:szCs w:val="24"/>
        </w:rPr>
        <w:t>violation d’obligations</w:t>
      </w:r>
      <w:r>
        <w:t xml:space="preserve"> ont une incidence substantielle sur la subvention; </w:t>
      </w:r>
    </w:p>
    <w:p w14:paraId="7E2DF54D" w14:textId="77777777" w:rsidR="00F57ECB" w:rsidRPr="00205981" w:rsidRDefault="00F57ECB" w:rsidP="002A6FB7">
      <w:pPr>
        <w:numPr>
          <w:ilvl w:val="0"/>
          <w:numId w:val="30"/>
        </w:numPr>
        <w:spacing w:line="240" w:lineRule="auto"/>
        <w:ind w:left="851" w:hanging="567"/>
        <w:jc w:val="both"/>
        <w:rPr>
          <w:szCs w:val="24"/>
        </w:rPr>
      </w:pPr>
      <w:r>
        <w:t xml:space="preserve">un bénéficiaire ou toute </w:t>
      </w:r>
      <w:r>
        <w:rPr>
          <w:i/>
          <w:szCs w:val="24"/>
        </w:rPr>
        <w:t>personne liée</w:t>
      </w:r>
      <w:r>
        <w:t xml:space="preserve"> ou toute personne physique qui est essentielle à l’attribution ou à l’exécution de la convention a créé une entité dans une juridiction différente dans l’intention de se soustraire à des obligations fiscales, sociales ou à toute autre obligation légale applicable sur le territoire où se trouve son siège statutaire, son administration centrale ou son principal établissement;</w:t>
      </w:r>
    </w:p>
    <w:p w14:paraId="3BBB8C61" w14:textId="136F7DD9" w:rsidR="00D30E81" w:rsidRPr="00205981" w:rsidRDefault="00F57ECB" w:rsidP="002A6FB7">
      <w:pPr>
        <w:numPr>
          <w:ilvl w:val="0"/>
          <w:numId w:val="30"/>
        </w:numPr>
        <w:spacing w:line="240" w:lineRule="auto"/>
        <w:ind w:left="851" w:hanging="567"/>
        <w:jc w:val="both"/>
        <w:rPr>
          <w:szCs w:val="24"/>
        </w:rPr>
      </w:pPr>
      <w:r>
        <w:t xml:space="preserve">un bénéficiaire ou toute </w:t>
      </w:r>
      <w:r>
        <w:rPr>
          <w:i/>
          <w:szCs w:val="24"/>
        </w:rPr>
        <w:t>personne liée</w:t>
      </w:r>
      <w:r>
        <w:t xml:space="preserve"> a été créé dans l’intention visée au point h) ou</w:t>
      </w:r>
    </w:p>
    <w:p w14:paraId="3BBB8C62" w14:textId="40366CC6" w:rsidR="00D30E81" w:rsidRPr="00205981" w:rsidRDefault="00D30E81" w:rsidP="002A6FB7">
      <w:pPr>
        <w:numPr>
          <w:ilvl w:val="0"/>
          <w:numId w:val="30"/>
        </w:numPr>
        <w:spacing w:line="240" w:lineRule="auto"/>
        <w:ind w:left="851" w:hanging="567"/>
        <w:jc w:val="both"/>
        <w:rPr>
          <w:szCs w:val="24"/>
        </w:rPr>
      </w:pPr>
      <w:r>
        <w:t xml:space="preserve">la Commission a adressé au bénéficiaire une </w:t>
      </w:r>
      <w:r>
        <w:rPr>
          <w:i/>
          <w:szCs w:val="24"/>
        </w:rPr>
        <w:t>notification formelle</w:t>
      </w:r>
      <w:r>
        <w:t xml:space="preserve"> lui demandant de mettre fin à la participation de son entité affiliée, parce que cette entité se trouve dans une situation prévue aux points d) à i) et que le bénéficiaire a omis de demander un avenant mettant fin à la participation de l’entité et réattribuant ses tâches.</w:t>
      </w:r>
    </w:p>
    <w:p w14:paraId="3BBB8C63" w14:textId="77777777" w:rsidR="00D30E81" w:rsidRPr="00D06D68" w:rsidRDefault="00D30E81" w:rsidP="00797757">
      <w:pPr>
        <w:pStyle w:val="Heading4"/>
        <w:spacing w:before="100" w:beforeAutospacing="1" w:after="100" w:afterAutospacing="1"/>
      </w:pPr>
      <w:r>
        <w:t xml:space="preserve">II.17.2.2 </w:t>
      </w:r>
      <w:r>
        <w:tab/>
        <w:t>Procédure de résiliation</w:t>
      </w:r>
    </w:p>
    <w:p w14:paraId="3BBB8C64" w14:textId="77777777" w:rsidR="00D30E81" w:rsidRPr="004264AF" w:rsidRDefault="00D30E81" w:rsidP="001C2768">
      <w:pPr>
        <w:spacing w:before="100" w:beforeAutospacing="1" w:after="0" w:line="240" w:lineRule="auto"/>
        <w:jc w:val="both"/>
        <w:rPr>
          <w:szCs w:val="24"/>
        </w:rPr>
      </w:pPr>
      <w:r>
        <w:rPr>
          <w:b/>
          <w:szCs w:val="24"/>
        </w:rPr>
        <w:t>Étape 1</w:t>
      </w:r>
      <w:r>
        <w:t xml:space="preserve"> Avant de résilier la convention, la Commission doit adresser au bénéficiaire une </w:t>
      </w:r>
      <w:r>
        <w:rPr>
          <w:i/>
          <w:szCs w:val="24"/>
        </w:rPr>
        <w:t>notification formelle</w:t>
      </w:r>
      <w:r>
        <w:t>:</w:t>
      </w:r>
    </w:p>
    <w:p w14:paraId="3BBB8C65" w14:textId="64049043" w:rsidR="00D30E81" w:rsidRPr="00197379" w:rsidRDefault="00D30E81" w:rsidP="002A6FB7">
      <w:pPr>
        <w:pStyle w:val="ListParagraph"/>
        <w:numPr>
          <w:ilvl w:val="0"/>
          <w:numId w:val="75"/>
        </w:numPr>
        <w:spacing w:after="0" w:line="240" w:lineRule="auto"/>
        <w:ind w:left="851" w:hanging="567"/>
        <w:jc w:val="both"/>
        <w:rPr>
          <w:szCs w:val="24"/>
        </w:rPr>
      </w:pPr>
      <w:r>
        <w:t>l’informant:</w:t>
      </w:r>
    </w:p>
    <w:p w14:paraId="3BBB8C66" w14:textId="46791E98" w:rsidR="00D30E81" w:rsidRPr="00197379" w:rsidRDefault="00D30E81" w:rsidP="002A6FB7">
      <w:pPr>
        <w:pStyle w:val="ListParagraph"/>
        <w:numPr>
          <w:ilvl w:val="0"/>
          <w:numId w:val="32"/>
        </w:numPr>
        <w:spacing w:after="0" w:line="240" w:lineRule="auto"/>
        <w:ind w:firstLine="131"/>
        <w:jc w:val="both"/>
        <w:rPr>
          <w:szCs w:val="24"/>
        </w:rPr>
      </w:pPr>
      <w:r>
        <w:t>de son intention de résilier;</w:t>
      </w:r>
    </w:p>
    <w:p w14:paraId="3BBB8C67" w14:textId="77777777" w:rsidR="00D30E81" w:rsidRPr="004264AF" w:rsidRDefault="00D30E81" w:rsidP="002A6FB7">
      <w:pPr>
        <w:numPr>
          <w:ilvl w:val="0"/>
          <w:numId w:val="32"/>
        </w:numPr>
        <w:spacing w:after="0" w:line="240" w:lineRule="auto"/>
        <w:ind w:left="1418" w:hanging="567"/>
        <w:jc w:val="both"/>
        <w:rPr>
          <w:szCs w:val="24"/>
        </w:rPr>
      </w:pPr>
      <w:r>
        <w:t>des motifs de la résiliation; et</w:t>
      </w:r>
    </w:p>
    <w:p w14:paraId="3BBB8C68" w14:textId="61FA2C4C" w:rsidR="00D30E81" w:rsidRPr="00197379" w:rsidRDefault="00D30E81" w:rsidP="002A6FB7">
      <w:pPr>
        <w:pStyle w:val="ListParagraph"/>
        <w:numPr>
          <w:ilvl w:val="0"/>
          <w:numId w:val="75"/>
        </w:numPr>
        <w:spacing w:after="0" w:line="240" w:lineRule="auto"/>
        <w:ind w:left="851" w:hanging="567"/>
        <w:jc w:val="both"/>
        <w:rPr>
          <w:szCs w:val="24"/>
        </w:rPr>
      </w:pPr>
      <w:r>
        <w:t xml:space="preserve">lui demandant, dans les 45 jours civils suivant la réception de la </w:t>
      </w:r>
      <w:r w:rsidRPr="00197379">
        <w:rPr>
          <w:i/>
          <w:szCs w:val="24"/>
        </w:rPr>
        <w:t>notification formelle</w:t>
      </w:r>
      <w:r>
        <w:t>:</w:t>
      </w:r>
    </w:p>
    <w:p w14:paraId="3BBB8C69" w14:textId="16C6CDBF" w:rsidR="00D30E81" w:rsidRPr="00197379" w:rsidRDefault="00D30E81" w:rsidP="002A6FB7">
      <w:pPr>
        <w:pStyle w:val="ListParagraph"/>
        <w:numPr>
          <w:ilvl w:val="0"/>
          <w:numId w:val="33"/>
        </w:numPr>
        <w:spacing w:after="0" w:line="240" w:lineRule="auto"/>
        <w:ind w:firstLine="131"/>
        <w:jc w:val="both"/>
        <w:rPr>
          <w:szCs w:val="24"/>
        </w:rPr>
      </w:pPr>
      <w:r>
        <w:t>de formuler des observations; et</w:t>
      </w:r>
    </w:p>
    <w:p w14:paraId="3BBB8C6A" w14:textId="77777777" w:rsidR="00D30E81" w:rsidRPr="004264AF" w:rsidRDefault="00D30E81" w:rsidP="002A6FB7">
      <w:pPr>
        <w:numPr>
          <w:ilvl w:val="0"/>
          <w:numId w:val="33"/>
        </w:numPr>
        <w:spacing w:after="0" w:line="240" w:lineRule="auto"/>
        <w:ind w:left="1418" w:hanging="567"/>
        <w:jc w:val="both"/>
        <w:rPr>
          <w:szCs w:val="24"/>
        </w:rPr>
      </w:pPr>
      <w:r>
        <w:t>dans le cas mentionné à l’article II.17.2.1, point b), d’informer la Commission des mesures visant à garantir le respect des obligations prévues par la convention.</w:t>
      </w:r>
    </w:p>
    <w:p w14:paraId="3BBB8C6B" w14:textId="77777777" w:rsidR="00D30E81" w:rsidRPr="004264AF" w:rsidRDefault="00D30E81" w:rsidP="00797757">
      <w:pPr>
        <w:spacing w:before="100" w:beforeAutospacing="1" w:after="100" w:afterAutospacing="1" w:line="240" w:lineRule="auto"/>
        <w:jc w:val="both"/>
        <w:rPr>
          <w:szCs w:val="24"/>
        </w:rPr>
      </w:pPr>
      <w:r>
        <w:rPr>
          <w:b/>
          <w:szCs w:val="24"/>
        </w:rPr>
        <w:t>Étape 2</w:t>
      </w:r>
      <w:r>
        <w:t xml:space="preserve"> Si la Commission ne reçoit pas d’observations ou décide de maintenir la procédure malgré les observations reçues, elle adresse au bénéficiaire une </w:t>
      </w:r>
      <w:r>
        <w:rPr>
          <w:i/>
          <w:szCs w:val="24"/>
        </w:rPr>
        <w:t>notification formelle</w:t>
      </w:r>
      <w:r>
        <w:t xml:space="preserve"> l’informant de la résiliation et de la date à laquelle celle-ci prend effet.</w:t>
      </w:r>
    </w:p>
    <w:p w14:paraId="3BBB8C6C" w14:textId="77777777" w:rsidR="00D30E81" w:rsidRPr="004264AF" w:rsidRDefault="00D30E81" w:rsidP="00797757">
      <w:pPr>
        <w:spacing w:before="100" w:beforeAutospacing="1" w:after="100" w:afterAutospacing="1" w:line="240" w:lineRule="auto"/>
        <w:jc w:val="both"/>
        <w:rPr>
          <w:szCs w:val="24"/>
        </w:rPr>
      </w:pPr>
      <w:r>
        <w:t xml:space="preserve">Autrement, la Commission doit adresser une </w:t>
      </w:r>
      <w:r>
        <w:rPr>
          <w:i/>
          <w:szCs w:val="24"/>
        </w:rPr>
        <w:t>notification formelle</w:t>
      </w:r>
      <w:r>
        <w:t xml:space="preserve"> au bénéficiaire l’informant que la procédure de résiliation n’est pas maintenue.</w:t>
      </w:r>
    </w:p>
    <w:p w14:paraId="3BBB8C6D" w14:textId="77777777" w:rsidR="00D30E81" w:rsidRPr="004264AF" w:rsidRDefault="00D30E81" w:rsidP="001C2768">
      <w:pPr>
        <w:spacing w:before="100" w:beforeAutospacing="1" w:after="0" w:line="240" w:lineRule="auto"/>
        <w:jc w:val="both"/>
        <w:rPr>
          <w:szCs w:val="24"/>
        </w:rPr>
      </w:pPr>
      <w:r>
        <w:t>La résiliation prend effet:</w:t>
      </w:r>
    </w:p>
    <w:p w14:paraId="30FBEC8C" w14:textId="77777777" w:rsidR="00EE5837" w:rsidRPr="00EE5837" w:rsidRDefault="00D30E81" w:rsidP="002A6FB7">
      <w:pPr>
        <w:pStyle w:val="ListParagraph"/>
        <w:numPr>
          <w:ilvl w:val="0"/>
          <w:numId w:val="34"/>
        </w:numPr>
        <w:spacing w:after="100" w:afterAutospacing="1" w:line="240" w:lineRule="auto"/>
        <w:jc w:val="both"/>
        <w:rPr>
          <w:szCs w:val="24"/>
        </w:rPr>
      </w:pPr>
      <w:r>
        <w:t xml:space="preserve">pour les résiliations relevant de l’article II.17.2.1, points a), b) et d): à la date précisée dans la </w:t>
      </w:r>
      <w:r w:rsidRPr="00EE5837">
        <w:rPr>
          <w:i/>
          <w:szCs w:val="24"/>
        </w:rPr>
        <w:t>notification formelle</w:t>
      </w:r>
      <w:r>
        <w:t xml:space="preserve"> de la résiliation visée au deuxième alinéa (c’est-à-dire à l’étape 2 ci-dessus);</w:t>
      </w:r>
    </w:p>
    <w:p w14:paraId="3BBB8C70" w14:textId="2305CFA7" w:rsidR="00FB59B1" w:rsidRPr="00EE5837" w:rsidRDefault="00D30E81" w:rsidP="002A6FB7">
      <w:pPr>
        <w:pStyle w:val="ListParagraph"/>
        <w:numPr>
          <w:ilvl w:val="0"/>
          <w:numId w:val="34"/>
        </w:numPr>
        <w:spacing w:after="100" w:afterAutospacing="1" w:line="240" w:lineRule="auto"/>
        <w:jc w:val="both"/>
        <w:rPr>
          <w:szCs w:val="24"/>
        </w:rPr>
      </w:pPr>
      <w:r>
        <w:t xml:space="preserve">pour les résiliations relevant de l’article II.17.2.1, points c) et e) à j): le lendemain de la réception par le bénéficiaire de la </w:t>
      </w:r>
      <w:r w:rsidRPr="00EE5837">
        <w:rPr>
          <w:i/>
          <w:szCs w:val="24"/>
        </w:rPr>
        <w:t>notification formelle</w:t>
      </w:r>
      <w:r>
        <w:t xml:space="preserve"> de la résiliation visée au deuxième alinéa (c’est-à-dire à l’étape 2 ci-dessus).</w:t>
      </w:r>
    </w:p>
    <w:p w14:paraId="3BBB8C71" w14:textId="77777777" w:rsidR="00D30E81" w:rsidRPr="00D06D68" w:rsidRDefault="00D30E81" w:rsidP="00797757">
      <w:pPr>
        <w:pStyle w:val="Heading3"/>
        <w:spacing w:before="100" w:beforeAutospacing="1" w:after="100" w:afterAutospacing="1"/>
      </w:pPr>
      <w:bookmarkStart w:id="70" w:name="_Toc441250854"/>
      <w:bookmarkStart w:id="71" w:name="_Toc81831062"/>
      <w:r>
        <w:t>II.17.3</w:t>
      </w:r>
      <w:r>
        <w:tab/>
        <w:t>Effets de la résiliation</w:t>
      </w:r>
      <w:bookmarkEnd w:id="70"/>
      <w:bookmarkEnd w:id="71"/>
    </w:p>
    <w:p w14:paraId="3BBB8C74" w14:textId="1992988E" w:rsidR="00D30E81" w:rsidRPr="004264AF" w:rsidRDefault="00C80215" w:rsidP="00797757">
      <w:pPr>
        <w:spacing w:before="100" w:beforeAutospacing="1" w:after="100" w:afterAutospacing="1" w:line="240" w:lineRule="auto"/>
        <w:jc w:val="both"/>
        <w:rPr>
          <w:szCs w:val="24"/>
        </w:rPr>
      </w:pPr>
      <w:r>
        <w:t xml:space="preserve"> Dans un délai de 60 jours civils à compter de la date d’effet de la résiliation, le bénéficiaire doit présenter une demande de paiement du solde comme le prévoit l’article I.4.4.</w:t>
      </w:r>
    </w:p>
    <w:p w14:paraId="3BBB8C75" w14:textId="0D9B7EDB" w:rsidR="00D30E81" w:rsidRPr="004264AF" w:rsidRDefault="00D30E81" w:rsidP="00797757">
      <w:pPr>
        <w:spacing w:before="100" w:beforeAutospacing="1" w:after="100" w:afterAutospacing="1" w:line="240" w:lineRule="auto"/>
        <w:jc w:val="both"/>
        <w:rPr>
          <w:szCs w:val="24"/>
        </w:rPr>
      </w:pPr>
      <w:r>
        <w:t>Si la Commission ne reçoit pas cette demande de paiement du solde dans le délai susmentionné, seuls les coûts ou contributions figurant dans un rapport technique approuvé et, le cas échéant, dans un état financier approuvé sont remboursés ou pris en charge par la subvention.</w:t>
      </w:r>
    </w:p>
    <w:p w14:paraId="3BBB8C76" w14:textId="27F343B3" w:rsidR="00D30E81" w:rsidRPr="004264AF" w:rsidRDefault="00D30E81" w:rsidP="00797757">
      <w:pPr>
        <w:spacing w:before="100" w:beforeAutospacing="1" w:after="100" w:afterAutospacing="1" w:line="240" w:lineRule="auto"/>
        <w:jc w:val="both"/>
        <w:rPr>
          <w:szCs w:val="24"/>
        </w:rPr>
      </w:pPr>
      <w:r>
        <w:t>Si la convention est résiliée par la Commission parce que le bénéficiaire a manqué à son obligation de présenter la demande de paiement, ce dernier ne peut pas présenter de demande de paiement après la résiliation. En pareil cas, le deuxième alinéa s’applique.</w:t>
      </w:r>
    </w:p>
    <w:p w14:paraId="3BBB8C7D" w14:textId="3EA1144F" w:rsidR="00D30E81" w:rsidRPr="004264AF" w:rsidRDefault="00D30E81" w:rsidP="00797757">
      <w:pPr>
        <w:spacing w:before="100" w:beforeAutospacing="1" w:after="100" w:afterAutospacing="1" w:line="240" w:lineRule="auto"/>
        <w:jc w:val="both"/>
        <w:rPr>
          <w:szCs w:val="24"/>
        </w:rPr>
      </w:pPr>
      <w:r>
        <w:t xml:space="preserve">La Commission calcule le montant final de la subvention comme indiqué à l’article II.25 et le solde comme indiqué à l’article I.4.5 sur la base des rapports présentés. Seules les activités menées avant la date d’effet de la résiliation ou la date de fin de la </w:t>
      </w:r>
      <w:r>
        <w:rPr>
          <w:i/>
          <w:szCs w:val="24"/>
        </w:rPr>
        <w:t>période de mise en œuvre</w:t>
      </w:r>
      <w:r>
        <w:t xml:space="preserve"> telle que définie à l’article I.2.2, la date retenue étant la plus proche, doivent être prises en compte. Lorsque la subvention prend la forme d’un remboursement de coûts réellement exposés conformément à l’article I.3.2, point a) i), seuls les coûts exposés avant la prise d’effet de la résiliation sont remboursés ou pris en charge par la subvention. Les coûts relatifs aux contrats qui n’auraient dû être exécutés qu’après la résiliation ne sont pas pris en considération et ne sont ni remboursés ni pris en charge par la subvention.</w:t>
      </w:r>
    </w:p>
    <w:p w14:paraId="3BBB8C7E" w14:textId="77777777" w:rsidR="00D30E81" w:rsidRPr="004264AF" w:rsidRDefault="00D30E81" w:rsidP="001C2768">
      <w:pPr>
        <w:spacing w:before="100" w:beforeAutospacing="1" w:after="0" w:line="240" w:lineRule="auto"/>
        <w:jc w:val="both"/>
        <w:rPr>
          <w:szCs w:val="24"/>
        </w:rPr>
      </w:pPr>
      <w:r>
        <w:t xml:space="preserve">La Commission peut réduire la subvention conformément à l’article II.25.4 dans les cas suivants: </w:t>
      </w:r>
    </w:p>
    <w:p w14:paraId="7A441E10" w14:textId="77777777" w:rsidR="007C2A08" w:rsidRPr="007C2A08" w:rsidRDefault="00D30E81" w:rsidP="002A6FB7">
      <w:pPr>
        <w:pStyle w:val="ListParagraph"/>
        <w:numPr>
          <w:ilvl w:val="0"/>
          <w:numId w:val="35"/>
        </w:numPr>
        <w:spacing w:after="100" w:afterAutospacing="1" w:line="240" w:lineRule="auto"/>
        <w:ind w:left="709" w:hanging="436"/>
        <w:jc w:val="both"/>
        <w:rPr>
          <w:szCs w:val="24"/>
        </w:rPr>
      </w:pPr>
      <w:r>
        <w:t>résiliation abusive de la convention par le bénéficiaire au sens de l’article II.17.1; ou</w:t>
      </w:r>
    </w:p>
    <w:p w14:paraId="3BBB8C80" w14:textId="0019D66F" w:rsidR="00D30E81" w:rsidRPr="007C2A08" w:rsidRDefault="00D30E81" w:rsidP="002A6FB7">
      <w:pPr>
        <w:pStyle w:val="ListParagraph"/>
        <w:numPr>
          <w:ilvl w:val="0"/>
          <w:numId w:val="35"/>
        </w:numPr>
        <w:spacing w:after="100" w:afterAutospacing="1" w:line="240" w:lineRule="auto"/>
        <w:ind w:left="709" w:hanging="436"/>
        <w:jc w:val="both"/>
        <w:rPr>
          <w:szCs w:val="24"/>
        </w:rPr>
      </w:pPr>
      <w:r>
        <w:t>résiliation de la convention par la Commission pour l’un des motifs exposés à l’article II.17.2.1, points b) à j).</w:t>
      </w:r>
    </w:p>
    <w:p w14:paraId="3BBB8C81" w14:textId="77777777" w:rsidR="00D30E81" w:rsidRPr="004264AF" w:rsidRDefault="00D30E81" w:rsidP="00797757">
      <w:pPr>
        <w:spacing w:before="100" w:beforeAutospacing="1" w:after="100" w:afterAutospacing="1" w:line="240" w:lineRule="auto"/>
        <w:jc w:val="both"/>
        <w:rPr>
          <w:szCs w:val="24"/>
        </w:rPr>
      </w:pPr>
      <w:r>
        <w:t>Aucune partie ne peut réclamer de dommages et intérêts au motif que l’autre partie a résilié la convention.</w:t>
      </w:r>
    </w:p>
    <w:p w14:paraId="3BBB8C82" w14:textId="77777777" w:rsidR="00D30E81" w:rsidRPr="004264AF" w:rsidRDefault="00D30E81" w:rsidP="00797757">
      <w:pPr>
        <w:spacing w:before="100" w:beforeAutospacing="1" w:after="100" w:afterAutospacing="1" w:line="240" w:lineRule="auto"/>
        <w:jc w:val="both"/>
        <w:rPr>
          <w:szCs w:val="24"/>
        </w:rPr>
      </w:pPr>
      <w:r>
        <w:t>Après la résiliation, les obligations du bénéficiaire continuent de s’appliquer, en particulier celles énoncées aux articles I.4, II.6, II.8, II.9, II.14 et II.27, ainsi que toute disposition complémentaire relative à l’utilisation des résultats, comme indiqué dans les conditions particulières.</w:t>
      </w:r>
    </w:p>
    <w:p w14:paraId="3BBB8C83" w14:textId="4C36BE31" w:rsidR="00D30E81" w:rsidRPr="001A04C2" w:rsidRDefault="0093695C" w:rsidP="00797757">
      <w:pPr>
        <w:pStyle w:val="Heading2"/>
        <w:spacing w:before="100" w:beforeAutospacing="1" w:after="100" w:afterAutospacing="1"/>
      </w:pPr>
      <w:bookmarkStart w:id="72" w:name="_Toc441250855"/>
      <w:bookmarkStart w:id="73" w:name="_Toc81831063"/>
      <w:r>
        <w:t>ARTICLE II.18 – LOI APPLICABLE, RÈGLEMENT DES LITIGES ET TITRES EXÉCUTOIRES</w:t>
      </w:r>
      <w:bookmarkEnd w:id="72"/>
      <w:bookmarkEnd w:id="73"/>
    </w:p>
    <w:p w14:paraId="3BBB8C84" w14:textId="77777777" w:rsidR="00D30E81" w:rsidRPr="004264AF" w:rsidRDefault="00D30E81" w:rsidP="00797757">
      <w:pPr>
        <w:spacing w:before="100" w:beforeAutospacing="1" w:after="100" w:afterAutospacing="1" w:line="240" w:lineRule="auto"/>
        <w:ind w:left="851" w:hanging="851"/>
        <w:jc w:val="both"/>
        <w:rPr>
          <w:szCs w:val="24"/>
        </w:rPr>
      </w:pPr>
      <w:r>
        <w:rPr>
          <w:b/>
          <w:szCs w:val="24"/>
        </w:rPr>
        <w:t>II.18.1</w:t>
      </w:r>
      <w:r>
        <w:tab/>
        <w:t>La convention est régie par le droit de l’Union applicable complété, en tant que de besoin, par le droit belge.</w:t>
      </w:r>
    </w:p>
    <w:p w14:paraId="3BBB8C85" w14:textId="77777777" w:rsidR="00D30E81" w:rsidRPr="004264AF" w:rsidRDefault="00D30E81" w:rsidP="00797757">
      <w:pPr>
        <w:spacing w:before="100" w:beforeAutospacing="1" w:after="100" w:afterAutospacing="1" w:line="240" w:lineRule="auto"/>
        <w:ind w:left="851" w:hanging="851"/>
        <w:jc w:val="both"/>
        <w:rPr>
          <w:szCs w:val="24"/>
        </w:rPr>
      </w:pPr>
      <w:r>
        <w:rPr>
          <w:b/>
          <w:szCs w:val="24"/>
        </w:rPr>
        <w:t>II.18.2</w:t>
      </w:r>
      <w:r>
        <w:tab/>
        <w:t>Conformément à l’article 272 du TFUE, le Tribunal ou, en appel, la Cour de justice de l’Union européenne a compétence exclusive pour statuer sur tout litige entre l’Union et un bénéficiaire concernant l’interprétation, l’application ou la validité de la convention, si ce litige ne peut être réglé par la voie amiable.</w:t>
      </w:r>
    </w:p>
    <w:p w14:paraId="3BBB8C86" w14:textId="77777777" w:rsidR="00D30E81" w:rsidRPr="004264AF" w:rsidRDefault="00D30E81" w:rsidP="00797757">
      <w:pPr>
        <w:spacing w:before="100" w:beforeAutospacing="1" w:after="100" w:afterAutospacing="1" w:line="240" w:lineRule="auto"/>
        <w:ind w:left="851" w:hanging="851"/>
        <w:jc w:val="both"/>
        <w:rPr>
          <w:szCs w:val="24"/>
        </w:rPr>
      </w:pPr>
      <w:r>
        <w:rPr>
          <w:b/>
          <w:szCs w:val="24"/>
        </w:rPr>
        <w:t>II.18.3</w:t>
      </w:r>
      <w:r>
        <w:tab/>
        <w:t>En vertu de l’article 299 du TFUE, aux fins du recouvrement au sens de l’article II.26, la Commission peut adopter une décision formant titre exécutoire qui impose des obligations pécuniaires à des personnes autres que des États.</w:t>
      </w:r>
    </w:p>
    <w:p w14:paraId="3BBB8C87" w14:textId="77777777" w:rsidR="00D30E81" w:rsidRPr="004264AF" w:rsidRDefault="00D30E81" w:rsidP="00797757">
      <w:pPr>
        <w:spacing w:before="100" w:beforeAutospacing="1" w:after="100" w:afterAutospacing="1" w:line="240" w:lineRule="auto"/>
        <w:ind w:left="851"/>
        <w:jc w:val="both"/>
        <w:rPr>
          <w:szCs w:val="24"/>
        </w:rPr>
      </w:pPr>
      <w:r>
        <w:t>Cette décision est susceptible de recours devant le Tribunal de l’Union européenne, conformément à l’article 263 du TFUE.</w:t>
      </w:r>
    </w:p>
    <w:p w14:paraId="3BBB8C88" w14:textId="77777777" w:rsidR="00D30E81" w:rsidRPr="004264AF" w:rsidRDefault="00D30E81" w:rsidP="00797757">
      <w:pPr>
        <w:adjustRightInd w:val="0"/>
        <w:spacing w:before="100" w:beforeAutospacing="1" w:after="100" w:afterAutospacing="1" w:line="240" w:lineRule="auto"/>
        <w:ind w:left="851"/>
        <w:jc w:val="both"/>
        <w:rPr>
          <w:szCs w:val="24"/>
        </w:rPr>
        <w:sectPr w:rsidR="00D30E81" w:rsidRPr="004264AF" w:rsidSect="006825F6">
          <w:headerReference w:type="even" r:id="rId11"/>
          <w:headerReference w:type="default" r:id="rId12"/>
          <w:footerReference w:type="even" r:id="rId13"/>
          <w:footerReference w:type="default" r:id="rId14"/>
          <w:headerReference w:type="first" r:id="rId15"/>
          <w:footerReference w:type="first" r:id="rId16"/>
          <w:pgSz w:w="11906" w:h="16838" w:code="9"/>
          <w:pgMar w:top="1304" w:right="1418" w:bottom="1134" w:left="1418" w:header="567" w:footer="225" w:gutter="0"/>
          <w:cols w:space="708"/>
          <w:docGrid w:linePitch="360"/>
        </w:sectPr>
      </w:pPr>
    </w:p>
    <w:p w14:paraId="3BBB8C89" w14:textId="77777777" w:rsidR="00D30E81" w:rsidRPr="00D06D68" w:rsidRDefault="00D30E81" w:rsidP="00797757">
      <w:pPr>
        <w:pStyle w:val="Heading1"/>
        <w:spacing w:before="100" w:beforeAutospacing="1" w:after="100" w:afterAutospacing="1"/>
        <w:jc w:val="both"/>
        <w:rPr>
          <w:rFonts w:ascii="Times New Roman" w:hAnsi="Times New Roman"/>
        </w:rPr>
      </w:pPr>
      <w:bookmarkStart w:id="74" w:name="_Toc441250856"/>
      <w:bookmarkStart w:id="75" w:name="_Toc81831064"/>
      <w:r>
        <w:rPr>
          <w:rFonts w:ascii="Times New Roman" w:hAnsi="Times New Roman"/>
        </w:rPr>
        <w:t>PARTIE B — DISPOSITIONS FINANCIÈRES</w:t>
      </w:r>
      <w:bookmarkEnd w:id="74"/>
      <w:bookmarkEnd w:id="75"/>
    </w:p>
    <w:p w14:paraId="3BBB8C8A" w14:textId="592CA585" w:rsidR="00D30E81" w:rsidRPr="001A04C2" w:rsidRDefault="0093695C" w:rsidP="00797757">
      <w:pPr>
        <w:pStyle w:val="Heading2"/>
        <w:spacing w:before="100" w:beforeAutospacing="1" w:after="100" w:afterAutospacing="1"/>
      </w:pPr>
      <w:bookmarkStart w:id="76" w:name="_Toc441250857"/>
      <w:bookmarkStart w:id="77" w:name="_Toc81831065"/>
      <w:r>
        <w:t>ARTICLE II.19 – COÛTS ÉLIGIBLES</w:t>
      </w:r>
      <w:bookmarkEnd w:id="76"/>
      <w:bookmarkEnd w:id="77"/>
    </w:p>
    <w:p w14:paraId="3BBB8C8B" w14:textId="77777777" w:rsidR="00D30E81" w:rsidRPr="00D06D68" w:rsidRDefault="00D30E81" w:rsidP="00797757">
      <w:pPr>
        <w:pStyle w:val="Heading3"/>
        <w:spacing w:before="100" w:beforeAutospacing="1" w:after="100" w:afterAutospacing="1"/>
      </w:pPr>
      <w:bookmarkStart w:id="78" w:name="_Toc441250858"/>
      <w:bookmarkStart w:id="79" w:name="_Toc81831066"/>
      <w:r>
        <w:t>II.19.1</w:t>
      </w:r>
      <w:r>
        <w:tab/>
        <w:t>Conditions d’éligibilité des coûts</w:t>
      </w:r>
      <w:bookmarkEnd w:id="78"/>
      <w:bookmarkEnd w:id="79"/>
    </w:p>
    <w:p w14:paraId="3BBB8C8C" w14:textId="77777777" w:rsidR="00D30E81" w:rsidRPr="004264AF" w:rsidRDefault="00D30E81" w:rsidP="001C2768">
      <w:pPr>
        <w:spacing w:before="100" w:beforeAutospacing="1" w:after="0" w:line="240" w:lineRule="auto"/>
        <w:jc w:val="both"/>
        <w:rPr>
          <w:szCs w:val="24"/>
        </w:rPr>
      </w:pPr>
      <w:r>
        <w:t xml:space="preserve">Les </w:t>
      </w:r>
      <w:r>
        <w:rPr>
          <w:i/>
          <w:szCs w:val="24"/>
        </w:rPr>
        <w:t>coûts éligibles</w:t>
      </w:r>
      <w:r>
        <w:t xml:space="preserve"> de l’</w:t>
      </w:r>
      <w:r>
        <w:rPr>
          <w:i/>
          <w:szCs w:val="24"/>
        </w:rPr>
        <w:t>action</w:t>
      </w:r>
      <w:r>
        <w:t xml:space="preserve"> sont les coûts réellement exposés par le bénéficiaire et qui répondent aux critères suivants:</w:t>
      </w:r>
    </w:p>
    <w:p w14:paraId="3BBB8C8D" w14:textId="1237F0E7" w:rsidR="00D30E81" w:rsidRPr="00D964E2" w:rsidRDefault="00D30E81" w:rsidP="002A6FB7">
      <w:pPr>
        <w:pStyle w:val="ListParagraph"/>
        <w:numPr>
          <w:ilvl w:val="0"/>
          <w:numId w:val="36"/>
        </w:numPr>
        <w:spacing w:after="100" w:afterAutospacing="1" w:line="240" w:lineRule="auto"/>
        <w:ind w:hanging="436"/>
        <w:jc w:val="both"/>
        <w:rPr>
          <w:szCs w:val="24"/>
        </w:rPr>
      </w:pPr>
      <w:r>
        <w:t xml:space="preserve">ils sont exposés pendant la </w:t>
      </w:r>
      <w:r w:rsidRPr="00D964E2">
        <w:rPr>
          <w:i/>
          <w:szCs w:val="24"/>
        </w:rPr>
        <w:t>période de mise en œuvre</w:t>
      </w:r>
      <w:r>
        <w:t>, à l’exception des coûts liés à la demande de paiement du solde et aux pièces justificatives correspondantes mentionnées à l’article I.4.4;</w:t>
      </w:r>
    </w:p>
    <w:p w14:paraId="3BBB8C8E" w14:textId="22B6A270" w:rsidR="00D30E81" w:rsidRPr="004264AF" w:rsidRDefault="00D30E81" w:rsidP="002A6FB7">
      <w:pPr>
        <w:numPr>
          <w:ilvl w:val="0"/>
          <w:numId w:val="36"/>
        </w:numPr>
        <w:spacing w:before="100" w:beforeAutospacing="1" w:after="100" w:afterAutospacing="1" w:line="240" w:lineRule="auto"/>
        <w:ind w:left="851" w:hanging="567"/>
        <w:jc w:val="both"/>
        <w:rPr>
          <w:szCs w:val="24"/>
        </w:rPr>
      </w:pPr>
      <w:r>
        <w:t>ils sont indiqués dans le budget prévisionnel. Ce budget prévisionnel figure à l’annexe II;</w:t>
      </w:r>
    </w:p>
    <w:p w14:paraId="3BBB8C8F" w14:textId="3A947BE2" w:rsidR="00D30E81" w:rsidRPr="004264AF" w:rsidRDefault="00D30E81" w:rsidP="002A6FB7">
      <w:pPr>
        <w:numPr>
          <w:ilvl w:val="0"/>
          <w:numId w:val="36"/>
        </w:numPr>
        <w:spacing w:before="100" w:beforeAutospacing="1" w:after="100" w:afterAutospacing="1" w:line="240" w:lineRule="auto"/>
        <w:ind w:left="851" w:hanging="567"/>
        <w:jc w:val="both"/>
        <w:rPr>
          <w:szCs w:val="24"/>
        </w:rPr>
      </w:pPr>
      <w:r>
        <w:t>ils sont exposés dans le cadre de l’</w:t>
      </w:r>
      <w:r>
        <w:rPr>
          <w:i/>
          <w:szCs w:val="24"/>
        </w:rPr>
        <w:t>action</w:t>
      </w:r>
      <w:r>
        <w:t xml:space="preserve"> décrite à l’annexe II et sont nécessaires à son exécution;</w:t>
      </w:r>
    </w:p>
    <w:p w14:paraId="3BBB8C90" w14:textId="77777777" w:rsidR="00D30E81" w:rsidRPr="004264AF" w:rsidRDefault="00D30E81" w:rsidP="002A6FB7">
      <w:pPr>
        <w:numPr>
          <w:ilvl w:val="0"/>
          <w:numId w:val="36"/>
        </w:numPr>
        <w:spacing w:before="100" w:beforeAutospacing="1" w:after="100" w:afterAutospacing="1" w:line="240" w:lineRule="auto"/>
        <w:ind w:left="851" w:hanging="567"/>
        <w:jc w:val="both"/>
        <w:rPr>
          <w:szCs w:val="24"/>
        </w:rPr>
      </w:pPr>
      <w:r>
        <w:t>ils sont identifiables et vérifiables, et sont notamment inscrits dans la comptabilité du bénéficiaire et déterminés conformément aux normes comptables applicables du pays dans lequel le bénéficiaire est établi et aux pratiques habituelles du bénéficiaire en matière de comptabilité analytique;</w:t>
      </w:r>
    </w:p>
    <w:p w14:paraId="3BBB8C91" w14:textId="77777777" w:rsidR="00D30E81" w:rsidRPr="004264AF" w:rsidRDefault="00D30E81" w:rsidP="002A6FB7">
      <w:pPr>
        <w:numPr>
          <w:ilvl w:val="0"/>
          <w:numId w:val="36"/>
        </w:numPr>
        <w:spacing w:before="100" w:beforeAutospacing="1" w:after="100" w:afterAutospacing="1" w:line="240" w:lineRule="auto"/>
        <w:ind w:left="851" w:hanging="567"/>
        <w:jc w:val="both"/>
        <w:rPr>
          <w:szCs w:val="24"/>
        </w:rPr>
      </w:pPr>
      <w:r>
        <w:t>ils satisfont aux dispositions de la législation fiscale et sociale applicable; et</w:t>
      </w:r>
    </w:p>
    <w:p w14:paraId="3BBB8C92" w14:textId="77777777" w:rsidR="00D30E81" w:rsidRPr="004264AF" w:rsidRDefault="00D30E81" w:rsidP="002A6FB7">
      <w:pPr>
        <w:numPr>
          <w:ilvl w:val="0"/>
          <w:numId w:val="36"/>
        </w:numPr>
        <w:spacing w:before="100" w:beforeAutospacing="1" w:after="100" w:afterAutospacing="1" w:line="240" w:lineRule="auto"/>
        <w:ind w:left="851" w:hanging="567"/>
        <w:jc w:val="both"/>
        <w:rPr>
          <w:szCs w:val="24"/>
        </w:rPr>
      </w:pPr>
      <w:r>
        <w:t>ils sont raisonnables, justifiés et respectent le principe de bonne gestion financière, notamment en ce qui concerne l’économie et l’efficience.</w:t>
      </w:r>
    </w:p>
    <w:p w14:paraId="3BBB8C93" w14:textId="77777777" w:rsidR="00D30E81" w:rsidRPr="00D06D68" w:rsidRDefault="00D30E81" w:rsidP="00797757">
      <w:pPr>
        <w:pStyle w:val="Heading3"/>
        <w:spacing w:before="100" w:beforeAutospacing="1" w:after="100" w:afterAutospacing="1"/>
      </w:pPr>
      <w:bookmarkStart w:id="80" w:name="_Toc441250859"/>
      <w:bookmarkStart w:id="81" w:name="_Toc81831067"/>
      <w:r>
        <w:t>II.19.2</w:t>
      </w:r>
      <w:r>
        <w:tab/>
        <w:t>Coûts directs éligibles</w:t>
      </w:r>
      <w:bookmarkEnd w:id="80"/>
      <w:bookmarkEnd w:id="81"/>
    </w:p>
    <w:p w14:paraId="3BBB8C94" w14:textId="77777777" w:rsidR="00D30E81" w:rsidRPr="004264AF" w:rsidRDefault="00D30E81" w:rsidP="00797757">
      <w:pPr>
        <w:autoSpaceDE w:val="0"/>
        <w:autoSpaceDN w:val="0"/>
        <w:adjustRightInd w:val="0"/>
        <w:spacing w:before="100" w:beforeAutospacing="1" w:after="100" w:afterAutospacing="1" w:line="240" w:lineRule="auto"/>
        <w:jc w:val="both"/>
        <w:rPr>
          <w:szCs w:val="24"/>
        </w:rPr>
      </w:pPr>
      <w:r>
        <w:t xml:space="preserve">Pour être éligibles, les </w:t>
      </w:r>
      <w:r>
        <w:rPr>
          <w:i/>
          <w:szCs w:val="24"/>
        </w:rPr>
        <w:t>coûts directs</w:t>
      </w:r>
      <w:r>
        <w:t xml:space="preserve"> de l’</w:t>
      </w:r>
      <w:r>
        <w:rPr>
          <w:i/>
          <w:szCs w:val="24"/>
        </w:rPr>
        <w:t>action</w:t>
      </w:r>
      <w:r>
        <w:t xml:space="preserve"> doivent remplir les conditions énoncées à l’article II.19.1.</w:t>
      </w:r>
    </w:p>
    <w:p w14:paraId="3BBB8C95" w14:textId="77777777" w:rsidR="00D30E81" w:rsidRPr="004264AF" w:rsidRDefault="00D30E81" w:rsidP="00797757">
      <w:pPr>
        <w:autoSpaceDE w:val="0"/>
        <w:autoSpaceDN w:val="0"/>
        <w:adjustRightInd w:val="0"/>
        <w:spacing w:before="100" w:beforeAutospacing="1" w:after="100" w:afterAutospacing="1" w:line="240" w:lineRule="auto"/>
        <w:jc w:val="both"/>
        <w:rPr>
          <w:szCs w:val="24"/>
        </w:rPr>
      </w:pPr>
      <w:r>
        <w:t xml:space="preserve">Sont notamment des </w:t>
      </w:r>
      <w:r>
        <w:rPr>
          <w:i/>
          <w:szCs w:val="24"/>
        </w:rPr>
        <w:t>coûts directs</w:t>
      </w:r>
      <w:r>
        <w:t xml:space="preserve"> éligibles les catégories de coûts suivantes, pour autant que ceux-ci remplissent les conditions définies à l’article II.19.1 ainsi que les conditions suivantes:</w:t>
      </w:r>
    </w:p>
    <w:p w14:paraId="3BBB8C96"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t>a)</w:t>
      </w:r>
      <w:r>
        <w:tab/>
        <w:t>les coûts du personnel qui travaille pour le bénéficiaire en vertu d’un contrat de travail ou d’un acte d’engagement équivalent et qui est affecté à l’</w:t>
      </w:r>
      <w:r>
        <w:rPr>
          <w:i/>
          <w:szCs w:val="24"/>
        </w:rPr>
        <w:t>action</w:t>
      </w:r>
      <w:r>
        <w:t>, pour autant que ces coûts soient conformes à la politique habituelle du bénéficiaire en matière de rémunération.</w:t>
      </w:r>
    </w:p>
    <w:p w14:paraId="3BBB8C97" w14:textId="77777777" w:rsidR="00D30E81" w:rsidRPr="004264AF" w:rsidRDefault="00D30E81" w:rsidP="001C2768">
      <w:pPr>
        <w:autoSpaceDE w:val="0"/>
        <w:autoSpaceDN w:val="0"/>
        <w:adjustRightInd w:val="0"/>
        <w:spacing w:before="100" w:beforeAutospacing="1" w:after="100" w:afterAutospacing="1" w:line="240" w:lineRule="auto"/>
        <w:ind w:left="851"/>
        <w:jc w:val="both"/>
        <w:rPr>
          <w:szCs w:val="24"/>
        </w:rPr>
      </w:pPr>
      <w:r>
        <w:t>Ces coûts comprennent les salaires réels augmentés des charges sociales et des autres coûts légaux entrant dans la rémunération. Ils peuvent également comporter des rémunérations supplémentaires, par exemple au titre de contrats complémentaires, quelle que soit la nature de ceux-ci, pour autant qu’elles soient versées de manière systématique lorsque le même type de travail ou d’expertise est requis, indépendamment de la source de financement utilisée.</w:t>
      </w:r>
    </w:p>
    <w:p w14:paraId="3BBB8C98" w14:textId="77777777" w:rsidR="00D30E81" w:rsidRPr="004264AF" w:rsidRDefault="00D30E81" w:rsidP="001C2768">
      <w:pPr>
        <w:autoSpaceDE w:val="0"/>
        <w:autoSpaceDN w:val="0"/>
        <w:adjustRightInd w:val="0"/>
        <w:spacing w:before="100" w:beforeAutospacing="1" w:line="240" w:lineRule="auto"/>
        <w:ind w:left="851"/>
        <w:jc w:val="both"/>
        <w:rPr>
          <w:szCs w:val="24"/>
        </w:rPr>
      </w:pPr>
      <w:r>
        <w:t>Les coûts relatifs aux personnes physiques qui travaillent pour le bénéficiaire dans le cadre d’une relation contractuelle autre qu’un contrat de travail ou qui sont détachées auprès du bénéficiaire par un tiers moyennant paiement peuvent également figurer parmi ces coûts de personnel, pour autant que les conditions suivantes soient remplies:</w:t>
      </w:r>
    </w:p>
    <w:p w14:paraId="1650A822" w14:textId="007DFFE8" w:rsidR="00DA5A83" w:rsidRPr="00FF2113" w:rsidRDefault="00F13594" w:rsidP="002A6FB7">
      <w:pPr>
        <w:pStyle w:val="ListParagraph"/>
        <w:numPr>
          <w:ilvl w:val="0"/>
          <w:numId w:val="65"/>
        </w:numPr>
        <w:autoSpaceDE w:val="0"/>
        <w:autoSpaceDN w:val="0"/>
        <w:adjustRightInd w:val="0"/>
        <w:spacing w:after="0" w:line="240" w:lineRule="auto"/>
        <w:ind w:hanging="469"/>
        <w:jc w:val="both"/>
        <w:rPr>
          <w:szCs w:val="24"/>
        </w:rPr>
      </w:pPr>
      <w:r>
        <w:t>la personne travaille dans des conditions analogues à celles d’un salarié (notamment en ce qui concerne le mode d’organisation du travail et l’exécution et le lieu d’exécution des tâches);</w:t>
      </w:r>
    </w:p>
    <w:p w14:paraId="4CAAEA28" w14:textId="2510F340" w:rsidR="00F13594" w:rsidRDefault="00F13594" w:rsidP="002A6FB7">
      <w:pPr>
        <w:numPr>
          <w:ilvl w:val="0"/>
          <w:numId w:val="65"/>
        </w:numPr>
        <w:autoSpaceDE w:val="0"/>
        <w:autoSpaceDN w:val="0"/>
        <w:adjustRightInd w:val="0"/>
        <w:spacing w:after="0" w:line="240" w:lineRule="auto"/>
        <w:ind w:left="1418" w:hanging="567"/>
        <w:contextualSpacing/>
        <w:jc w:val="both"/>
        <w:rPr>
          <w:szCs w:val="24"/>
        </w:rPr>
      </w:pPr>
      <w:r>
        <w:t>le résultat des travaux appartient au bénéficiaire (sauf si, à titre exceptionnel, il en est convenu autrement); et</w:t>
      </w:r>
    </w:p>
    <w:p w14:paraId="3BBB8C9B" w14:textId="34B11144" w:rsidR="00D30E81" w:rsidRPr="004264AF" w:rsidRDefault="00D30E81" w:rsidP="001C2768">
      <w:pPr>
        <w:tabs>
          <w:tab w:val="left" w:pos="960"/>
        </w:tabs>
        <w:autoSpaceDE w:val="0"/>
        <w:autoSpaceDN w:val="0"/>
        <w:adjustRightInd w:val="0"/>
        <w:spacing w:line="240" w:lineRule="auto"/>
        <w:ind w:left="1418" w:hanging="567"/>
        <w:jc w:val="both"/>
        <w:rPr>
          <w:szCs w:val="24"/>
        </w:rPr>
      </w:pPr>
      <w:r>
        <w:t>iii)</w:t>
      </w:r>
      <w:r>
        <w:tab/>
        <w:t>les coûts ne sont pas nettement différents de ceux du personnel exécutant des tâches similaires au titre d’un contrat de travail conclu avec le bénéficiaire;</w:t>
      </w:r>
    </w:p>
    <w:p w14:paraId="3BBB8C9C" w14:textId="77777777" w:rsidR="00D30E81" w:rsidRPr="004264AF" w:rsidRDefault="00D30E81" w:rsidP="00E6321B">
      <w:pPr>
        <w:spacing w:before="100" w:beforeAutospacing="1" w:after="100" w:afterAutospacing="1" w:line="240" w:lineRule="auto"/>
        <w:ind w:left="851" w:hanging="567"/>
        <w:jc w:val="both"/>
        <w:rPr>
          <w:szCs w:val="24"/>
        </w:rPr>
      </w:pPr>
      <w:r>
        <w:t>b)</w:t>
      </w:r>
      <w:r>
        <w:tab/>
        <w:t>les frais de voyage et les frais de séjour afférents, pour autant qu’ils correspondent aux pratiques habituelles du bénéficiaire en matière de déplacement;</w:t>
      </w:r>
    </w:p>
    <w:p w14:paraId="3BBB8C9D" w14:textId="77777777" w:rsidR="00D30E81" w:rsidRPr="004264AF" w:rsidRDefault="00D30E81" w:rsidP="001C2768">
      <w:pPr>
        <w:autoSpaceDE w:val="0"/>
        <w:autoSpaceDN w:val="0"/>
        <w:adjustRightInd w:val="0"/>
        <w:spacing w:before="100" w:beforeAutospacing="1" w:after="0" w:line="240" w:lineRule="auto"/>
        <w:ind w:left="851" w:hanging="567"/>
        <w:jc w:val="both"/>
        <w:rPr>
          <w:szCs w:val="24"/>
        </w:rPr>
      </w:pPr>
      <w:r>
        <w:t>c)</w:t>
      </w:r>
      <w:r>
        <w:tab/>
        <w:t>les coûts d’amortissement d’équipements ou d’autres biens (neufs ou d’occasion) inscrits dans la comptabilité du bénéficiaire, pour autant qu’ils</w:t>
      </w:r>
    </w:p>
    <w:p w14:paraId="3BBB8C9E" w14:textId="2B12C83E" w:rsidR="00D30E81" w:rsidRPr="001C2768" w:rsidRDefault="00D30E81" w:rsidP="002A6FB7">
      <w:pPr>
        <w:pStyle w:val="ListParagraph"/>
        <w:numPr>
          <w:ilvl w:val="0"/>
          <w:numId w:val="69"/>
        </w:numPr>
        <w:autoSpaceDE w:val="0"/>
        <w:autoSpaceDN w:val="0"/>
        <w:adjustRightInd w:val="0"/>
        <w:spacing w:after="0" w:line="240" w:lineRule="auto"/>
        <w:ind w:left="1418" w:hanging="567"/>
        <w:jc w:val="both"/>
      </w:pPr>
      <w:r>
        <w:t>soient amortis conformément aux règles comptables internationales et aux pratiques comptables habituelles du bénéficiaire; et</w:t>
      </w:r>
    </w:p>
    <w:p w14:paraId="3BBB8C9F" w14:textId="23425BAF" w:rsidR="00D30E81" w:rsidRPr="001C2768" w:rsidRDefault="00D30E81" w:rsidP="002A6FB7">
      <w:pPr>
        <w:pStyle w:val="ListParagraph"/>
        <w:numPr>
          <w:ilvl w:val="0"/>
          <w:numId w:val="69"/>
        </w:numPr>
        <w:autoSpaceDE w:val="0"/>
        <w:autoSpaceDN w:val="0"/>
        <w:adjustRightInd w:val="0"/>
        <w:spacing w:after="0" w:line="240" w:lineRule="auto"/>
        <w:ind w:left="1418" w:hanging="567"/>
        <w:jc w:val="both"/>
      </w:pPr>
      <w:r>
        <w:t xml:space="preserve">aient été achetés conformément à l’article II.10.1 si l’achat a eu lieu pendant la </w:t>
      </w:r>
      <w:r>
        <w:rPr>
          <w:i/>
        </w:rPr>
        <w:t>période de mise en œuvre</w:t>
      </w:r>
      <w:r>
        <w:t>.</w:t>
      </w:r>
    </w:p>
    <w:p w14:paraId="3BBB8CA0" w14:textId="77777777" w:rsidR="00D30E81" w:rsidRPr="004264AF" w:rsidRDefault="00D30E81" w:rsidP="001C2768">
      <w:pPr>
        <w:autoSpaceDE w:val="0"/>
        <w:autoSpaceDN w:val="0"/>
        <w:adjustRightInd w:val="0"/>
        <w:spacing w:before="100" w:beforeAutospacing="1" w:after="100" w:afterAutospacing="1" w:line="240" w:lineRule="auto"/>
        <w:ind w:left="851"/>
        <w:jc w:val="both"/>
        <w:rPr>
          <w:szCs w:val="24"/>
        </w:rPr>
      </w:pPr>
      <w:r>
        <w:t>Les coûts de location d’équipements ou d’autres biens sont également éligibles s’ils ne dépassent pas le coût d’amortissement d’équipements ou de biens similaires et ne comprennent pas de frais financiers.</w:t>
      </w:r>
    </w:p>
    <w:p w14:paraId="3BBB8CA1" w14:textId="77777777" w:rsidR="00D30E81" w:rsidRPr="004264AF" w:rsidRDefault="00D30E81" w:rsidP="001C2768">
      <w:pPr>
        <w:autoSpaceDE w:val="0"/>
        <w:autoSpaceDN w:val="0"/>
        <w:adjustRightInd w:val="0"/>
        <w:spacing w:before="100" w:beforeAutospacing="1" w:after="100" w:afterAutospacing="1" w:line="240" w:lineRule="auto"/>
        <w:ind w:left="851"/>
        <w:jc w:val="both"/>
        <w:rPr>
          <w:szCs w:val="24"/>
        </w:rPr>
      </w:pPr>
      <w:r>
        <w:t xml:space="preserve">Seule la part du coût d’amortissement ou de location des équipements correspondant à la </w:t>
      </w:r>
      <w:r>
        <w:rPr>
          <w:i/>
          <w:szCs w:val="24"/>
        </w:rPr>
        <w:t>période de mise en œuvre</w:t>
      </w:r>
      <w:r>
        <w:t xml:space="preserve"> et à son taux d’utilisation effective aux fins de l’</w:t>
      </w:r>
      <w:r>
        <w:rPr>
          <w:i/>
          <w:szCs w:val="24"/>
        </w:rPr>
        <w:t>action</w:t>
      </w:r>
      <w:r>
        <w:t xml:space="preserve"> peut être prise en compte lors de la détermination des coûts éligibles. À titre d’exception, le coût d’achat intégral des équipements peut être éligible en vertu des conditions particulières, si la nature de l’</w:t>
      </w:r>
      <w:r>
        <w:rPr>
          <w:i/>
          <w:szCs w:val="24"/>
        </w:rPr>
        <w:t>action</w:t>
      </w:r>
      <w:r>
        <w:t xml:space="preserve"> et le contexte d’utilisation des équipements ou des biens le justifient;</w:t>
      </w:r>
    </w:p>
    <w:p w14:paraId="3BBB8CA2" w14:textId="77777777" w:rsidR="00D30E81" w:rsidRPr="004264AF" w:rsidRDefault="00D30E81" w:rsidP="001C2768">
      <w:pPr>
        <w:autoSpaceDE w:val="0"/>
        <w:autoSpaceDN w:val="0"/>
        <w:adjustRightInd w:val="0"/>
        <w:spacing w:before="100" w:beforeAutospacing="1" w:after="0" w:line="240" w:lineRule="auto"/>
        <w:ind w:left="851" w:hanging="567"/>
        <w:jc w:val="both"/>
        <w:rPr>
          <w:szCs w:val="24"/>
        </w:rPr>
      </w:pPr>
      <w:r>
        <w:t>d)</w:t>
      </w:r>
      <w:r>
        <w:tab/>
        <w:t>le coût des matériels consommables et des fournitures, pour autant qu’ils soient</w:t>
      </w:r>
    </w:p>
    <w:p w14:paraId="3BBB8CA3" w14:textId="0BF1C524" w:rsidR="00D30E81" w:rsidRPr="001C2768" w:rsidRDefault="00D30E81" w:rsidP="002A6FB7">
      <w:pPr>
        <w:pStyle w:val="ListParagraph"/>
        <w:numPr>
          <w:ilvl w:val="0"/>
          <w:numId w:val="70"/>
        </w:numPr>
        <w:autoSpaceDE w:val="0"/>
        <w:autoSpaceDN w:val="0"/>
        <w:adjustRightInd w:val="0"/>
        <w:spacing w:after="0" w:line="240" w:lineRule="auto"/>
        <w:ind w:firstLine="131"/>
        <w:jc w:val="both"/>
      </w:pPr>
      <w:r>
        <w:t>achetés conformément à l’article II.10.1; et</w:t>
      </w:r>
    </w:p>
    <w:p w14:paraId="3BBB8CA4" w14:textId="50B7AFBF" w:rsidR="00D30E81" w:rsidRPr="001C2768" w:rsidRDefault="00D30E81" w:rsidP="002A6FB7">
      <w:pPr>
        <w:pStyle w:val="ListParagraph"/>
        <w:numPr>
          <w:ilvl w:val="0"/>
          <w:numId w:val="70"/>
        </w:numPr>
        <w:autoSpaceDE w:val="0"/>
        <w:autoSpaceDN w:val="0"/>
        <w:adjustRightInd w:val="0"/>
        <w:spacing w:line="240" w:lineRule="auto"/>
        <w:ind w:left="1418" w:hanging="567"/>
        <w:jc w:val="both"/>
      </w:pPr>
      <w:r>
        <w:t>directement affectés à l’</w:t>
      </w:r>
      <w:r>
        <w:rPr>
          <w:i/>
        </w:rPr>
        <w:t>action</w:t>
      </w:r>
      <w:r>
        <w:t>;</w:t>
      </w:r>
    </w:p>
    <w:p w14:paraId="3BBB8CA5"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t>e)</w:t>
      </w:r>
      <w:r>
        <w:tab/>
        <w:t>les coûts découlant directement d’exigences posées par la convention (diffusion d’informations, évaluation spécifique de l’</w:t>
      </w:r>
      <w:r>
        <w:rPr>
          <w:i/>
          <w:szCs w:val="24"/>
        </w:rPr>
        <w:t>action</w:t>
      </w:r>
      <w:r>
        <w:t>, audits, traductions, reproduction), y compris le coût des garanties financières demandées, à condition que les services correspondants soient achetés conformément à l’article II.10.1;</w:t>
      </w:r>
    </w:p>
    <w:p w14:paraId="3BBB8CA6"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t>f)</w:t>
      </w:r>
      <w:r>
        <w:tab/>
        <w:t xml:space="preserve">les coûts découlant des </w:t>
      </w:r>
      <w:r>
        <w:rPr>
          <w:i/>
          <w:szCs w:val="24"/>
        </w:rPr>
        <w:t>contrats de sous-traitance</w:t>
      </w:r>
      <w:r>
        <w:t xml:space="preserve"> au sens visé à l’article II.11, pour autant que les conditions prévues à l’article II.11.1, points a), b), c) et d), soient respectées;</w:t>
      </w:r>
    </w:p>
    <w:p w14:paraId="3BBB8CA7"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t>g)</w:t>
      </w:r>
      <w:r>
        <w:tab/>
        <w:t>les coûts de soutien financier en faveur de tiers au sens visé à l’article II.12, pour autant que les conditions prévues dans cet article soient respectées;</w:t>
      </w:r>
    </w:p>
    <w:p w14:paraId="3BBB8CA8"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t xml:space="preserve">h) </w:t>
      </w:r>
      <w:r>
        <w:tab/>
        <w:t xml:space="preserve">les droits, impôts et taxes payés par le bénéficiaire, notamment la taxe sur la valeur ajoutée (TVA), pour autant qu’ils soient inclus dans les </w:t>
      </w:r>
      <w:r>
        <w:rPr>
          <w:i/>
          <w:szCs w:val="24"/>
        </w:rPr>
        <w:t>coûts directs</w:t>
      </w:r>
      <w:r>
        <w:t xml:space="preserve"> éligibles, et sauf mention contraire dans la convention.</w:t>
      </w:r>
    </w:p>
    <w:p w14:paraId="3BBB8CA9" w14:textId="77777777" w:rsidR="00D30E81" w:rsidRPr="00D06D68" w:rsidRDefault="00D30E81" w:rsidP="00797757">
      <w:pPr>
        <w:pStyle w:val="Heading3"/>
        <w:spacing w:before="100" w:beforeAutospacing="1" w:after="100" w:afterAutospacing="1"/>
      </w:pPr>
      <w:bookmarkStart w:id="82" w:name="_Toc441250860"/>
      <w:bookmarkStart w:id="83" w:name="_Toc81831068"/>
      <w:r>
        <w:t>II.19.3</w:t>
      </w:r>
      <w:r>
        <w:tab/>
        <w:t>Coûts indirects éligibles</w:t>
      </w:r>
      <w:bookmarkEnd w:id="82"/>
      <w:bookmarkEnd w:id="83"/>
    </w:p>
    <w:p w14:paraId="3BBB8CAA" w14:textId="77777777" w:rsidR="00D30E81" w:rsidRPr="004264AF" w:rsidRDefault="00D30E81" w:rsidP="00797757">
      <w:pPr>
        <w:spacing w:before="100" w:beforeAutospacing="1" w:after="100" w:afterAutospacing="1" w:line="240" w:lineRule="auto"/>
        <w:jc w:val="both"/>
        <w:rPr>
          <w:szCs w:val="24"/>
        </w:rPr>
      </w:pPr>
      <w:r>
        <w:t xml:space="preserve">Pour être éligibles, les </w:t>
      </w:r>
      <w:r>
        <w:rPr>
          <w:i/>
          <w:szCs w:val="24"/>
        </w:rPr>
        <w:t>coûts indirects</w:t>
      </w:r>
      <w:r>
        <w:t xml:space="preserve"> de l’</w:t>
      </w:r>
      <w:r>
        <w:rPr>
          <w:i/>
          <w:szCs w:val="24"/>
        </w:rPr>
        <w:t>action</w:t>
      </w:r>
      <w:r>
        <w:t xml:space="preserve"> doivent représenter une part raisonnable des frais généraux du bénéficiaire et remplir les conditions énumérées à l’article II.19.1.</w:t>
      </w:r>
    </w:p>
    <w:p w14:paraId="3BBB8CAB" w14:textId="77777777" w:rsidR="00D30E81" w:rsidRPr="004264AF" w:rsidRDefault="00D30E81" w:rsidP="00797757">
      <w:pPr>
        <w:spacing w:before="100" w:beforeAutospacing="1" w:after="100" w:afterAutospacing="1" w:line="240" w:lineRule="auto"/>
        <w:jc w:val="both"/>
        <w:rPr>
          <w:szCs w:val="24"/>
        </w:rPr>
      </w:pPr>
      <w:r>
        <w:t xml:space="preserve">Les </w:t>
      </w:r>
      <w:r>
        <w:rPr>
          <w:i/>
          <w:szCs w:val="24"/>
        </w:rPr>
        <w:t>coûts indirects</w:t>
      </w:r>
      <w:r>
        <w:t xml:space="preserve"> éligibles doivent être déclarés sur la base d’un taux forfaitaire de 7 % du total des </w:t>
      </w:r>
      <w:r>
        <w:rPr>
          <w:bCs/>
          <w:i/>
          <w:szCs w:val="24"/>
        </w:rPr>
        <w:t>coûts directs</w:t>
      </w:r>
      <w:r>
        <w:t xml:space="preserve"> éligibles, sauf si l’article I.3.2 en dispose autrement.</w:t>
      </w:r>
    </w:p>
    <w:p w14:paraId="3BBB8CAC" w14:textId="77777777" w:rsidR="00D30E81" w:rsidRPr="00D06D68" w:rsidRDefault="00D30E81" w:rsidP="00797757">
      <w:pPr>
        <w:pStyle w:val="Heading3"/>
        <w:spacing w:before="100" w:beforeAutospacing="1" w:after="100" w:afterAutospacing="1"/>
      </w:pPr>
      <w:bookmarkStart w:id="84" w:name="_Toc441250861"/>
      <w:bookmarkStart w:id="85" w:name="_Toc81831069"/>
      <w:r>
        <w:t>II.19.4</w:t>
      </w:r>
      <w:r>
        <w:tab/>
        <w:t>Coûts non éligibles</w:t>
      </w:r>
      <w:bookmarkEnd w:id="84"/>
      <w:bookmarkEnd w:id="85"/>
    </w:p>
    <w:p w14:paraId="3BBB8CAD" w14:textId="77777777" w:rsidR="00D30E81" w:rsidRPr="004264AF" w:rsidRDefault="00D30E81" w:rsidP="001C2768">
      <w:pPr>
        <w:spacing w:before="100" w:beforeAutospacing="1" w:after="0" w:line="240" w:lineRule="auto"/>
        <w:jc w:val="both"/>
        <w:rPr>
          <w:szCs w:val="24"/>
        </w:rPr>
      </w:pPr>
      <w:r>
        <w:t>Outre les autres coûts qui ne remplissent pas les conditions énumérées à l’article II.19.1, les coûts suivants ne peuvent pas être considérés comme éligibles:</w:t>
      </w:r>
    </w:p>
    <w:p w14:paraId="3BBB8CAE" w14:textId="7886A4BD" w:rsidR="00D30E81" w:rsidRPr="00A8217B" w:rsidRDefault="00D30E81" w:rsidP="002A6FB7">
      <w:pPr>
        <w:pStyle w:val="ListParagraph"/>
        <w:numPr>
          <w:ilvl w:val="0"/>
          <w:numId w:val="37"/>
        </w:numPr>
        <w:spacing w:after="100" w:afterAutospacing="1" w:line="240" w:lineRule="auto"/>
        <w:ind w:left="851" w:hanging="567"/>
        <w:jc w:val="both"/>
        <w:rPr>
          <w:szCs w:val="24"/>
        </w:rPr>
      </w:pPr>
      <w:r>
        <w:t>la rémunération du capital et les dividendes versés par le bénéficiaire;</w:t>
      </w:r>
    </w:p>
    <w:p w14:paraId="3BBB8CAF" w14:textId="77777777" w:rsidR="00D30E81" w:rsidRPr="004264AF" w:rsidRDefault="00D30E81" w:rsidP="002A6FB7">
      <w:pPr>
        <w:numPr>
          <w:ilvl w:val="0"/>
          <w:numId w:val="37"/>
        </w:numPr>
        <w:spacing w:before="100" w:beforeAutospacing="1" w:after="100" w:afterAutospacing="1" w:line="240" w:lineRule="auto"/>
        <w:ind w:left="851" w:hanging="567"/>
        <w:jc w:val="both"/>
        <w:rPr>
          <w:szCs w:val="24"/>
        </w:rPr>
      </w:pPr>
      <w:r>
        <w:t>les dettes et la charge de la dette;</w:t>
      </w:r>
    </w:p>
    <w:p w14:paraId="3BBB8CB0" w14:textId="77777777" w:rsidR="00D30E81" w:rsidRPr="004264AF" w:rsidRDefault="00D30E81" w:rsidP="002A6FB7">
      <w:pPr>
        <w:numPr>
          <w:ilvl w:val="0"/>
          <w:numId w:val="37"/>
        </w:numPr>
        <w:spacing w:before="100" w:beforeAutospacing="1" w:after="100" w:afterAutospacing="1" w:line="240" w:lineRule="auto"/>
        <w:ind w:left="851" w:hanging="567"/>
        <w:jc w:val="both"/>
        <w:rPr>
          <w:szCs w:val="24"/>
        </w:rPr>
      </w:pPr>
      <w:r>
        <w:t>les provisions pour pertes ou dettes;</w:t>
      </w:r>
    </w:p>
    <w:p w14:paraId="3BBB8CB1" w14:textId="77777777" w:rsidR="00D30E81" w:rsidRPr="004264AF" w:rsidRDefault="00D30E81" w:rsidP="002A6FB7">
      <w:pPr>
        <w:numPr>
          <w:ilvl w:val="0"/>
          <w:numId w:val="37"/>
        </w:numPr>
        <w:spacing w:before="100" w:beforeAutospacing="1" w:after="100" w:afterAutospacing="1" w:line="240" w:lineRule="auto"/>
        <w:ind w:left="851" w:hanging="567"/>
        <w:jc w:val="both"/>
        <w:rPr>
          <w:szCs w:val="24"/>
        </w:rPr>
      </w:pPr>
      <w:r>
        <w:t>les intérêts débiteurs;</w:t>
      </w:r>
    </w:p>
    <w:p w14:paraId="3BBB8CB2" w14:textId="77777777" w:rsidR="00D30E81" w:rsidRPr="004264AF" w:rsidRDefault="00D30E81" w:rsidP="002A6FB7">
      <w:pPr>
        <w:numPr>
          <w:ilvl w:val="0"/>
          <w:numId w:val="37"/>
        </w:numPr>
        <w:spacing w:before="100" w:beforeAutospacing="1" w:after="100" w:afterAutospacing="1" w:line="240" w:lineRule="auto"/>
        <w:ind w:left="851" w:hanging="567"/>
        <w:jc w:val="both"/>
        <w:rPr>
          <w:szCs w:val="24"/>
        </w:rPr>
      </w:pPr>
      <w:r>
        <w:t>les créances douteuses;</w:t>
      </w:r>
    </w:p>
    <w:p w14:paraId="3BBB8CB3" w14:textId="77777777" w:rsidR="00D30E81" w:rsidRPr="004264AF" w:rsidRDefault="00D30E81" w:rsidP="002A6FB7">
      <w:pPr>
        <w:numPr>
          <w:ilvl w:val="0"/>
          <w:numId w:val="37"/>
        </w:numPr>
        <w:spacing w:before="100" w:beforeAutospacing="1" w:after="100" w:afterAutospacing="1" w:line="240" w:lineRule="auto"/>
        <w:ind w:left="851" w:hanging="567"/>
        <w:jc w:val="both"/>
        <w:rPr>
          <w:szCs w:val="24"/>
        </w:rPr>
      </w:pPr>
      <w:r>
        <w:t>les pertes de change;</w:t>
      </w:r>
    </w:p>
    <w:p w14:paraId="3BBB8CB4" w14:textId="77777777" w:rsidR="00D30E81" w:rsidRPr="004264AF" w:rsidRDefault="00D30E81" w:rsidP="002A6FB7">
      <w:pPr>
        <w:numPr>
          <w:ilvl w:val="0"/>
          <w:numId w:val="37"/>
        </w:numPr>
        <w:spacing w:before="100" w:beforeAutospacing="1" w:after="100" w:afterAutospacing="1" w:line="240" w:lineRule="auto"/>
        <w:ind w:left="851" w:hanging="567"/>
        <w:jc w:val="both"/>
        <w:rPr>
          <w:szCs w:val="24"/>
        </w:rPr>
      </w:pPr>
      <w:r>
        <w:t>les coûts des virements effectués par la Commission facturés par la banque du bénéficiaire;</w:t>
      </w:r>
    </w:p>
    <w:p w14:paraId="3BBB8CB5" w14:textId="06922E93" w:rsidR="00D30E81" w:rsidRPr="004264AF" w:rsidRDefault="00D30E81" w:rsidP="002A6FB7">
      <w:pPr>
        <w:numPr>
          <w:ilvl w:val="0"/>
          <w:numId w:val="37"/>
        </w:numPr>
        <w:spacing w:before="100" w:beforeAutospacing="1" w:after="100" w:afterAutospacing="1" w:line="240" w:lineRule="auto"/>
        <w:ind w:left="851" w:hanging="567"/>
        <w:jc w:val="both"/>
        <w:rPr>
          <w:szCs w:val="24"/>
        </w:rPr>
      </w:pPr>
      <w:r>
        <w:t xml:space="preserve">les coûts déclarés par le bénéficiaire au titre d’une autre </w:t>
      </w:r>
      <w:r>
        <w:rPr>
          <w:i/>
          <w:szCs w:val="24"/>
        </w:rPr>
        <w:t>action</w:t>
      </w:r>
      <w:r>
        <w:t xml:space="preserve"> donnant lieu à une subvention financée par le budget de l’Union. Parmi ces subventions figurent les subventions octroyées par un État membre et financées par le budget de l’Union et celles octroyées par d’autres instances que la Commission aux fins de l’exécution du budget de l’Union. Concrètement, s’il reçoit une subvention de fonctionnement financée par le budget de l’Union ou d’Euratom, le bénéficiaire ne peut déclarer de </w:t>
      </w:r>
      <w:r>
        <w:rPr>
          <w:i/>
          <w:szCs w:val="24"/>
        </w:rPr>
        <w:t>coûts indirects</w:t>
      </w:r>
      <w:r>
        <w:t xml:space="preserve"> pour la ou les périodes couvertes par cette subvention de fonctionnement, sauf s’il peut démontrer que cette dernière ne couvre aucun coût de l’</w:t>
      </w:r>
      <w:r>
        <w:rPr>
          <w:i/>
          <w:szCs w:val="24"/>
        </w:rPr>
        <w:t>action</w:t>
      </w:r>
      <w:r>
        <w:t>;</w:t>
      </w:r>
    </w:p>
    <w:p w14:paraId="3BBB8CB6" w14:textId="77777777" w:rsidR="00D30E81" w:rsidRPr="004264AF" w:rsidRDefault="00D30E81" w:rsidP="002A6FB7">
      <w:pPr>
        <w:numPr>
          <w:ilvl w:val="0"/>
          <w:numId w:val="37"/>
        </w:numPr>
        <w:spacing w:before="100" w:beforeAutospacing="1" w:after="100" w:afterAutospacing="1" w:line="240" w:lineRule="auto"/>
        <w:ind w:left="851" w:hanging="567"/>
        <w:jc w:val="both"/>
        <w:rPr>
          <w:szCs w:val="24"/>
        </w:rPr>
      </w:pPr>
      <w:r>
        <w:t>les contributions en nature apportées par des tiers;</w:t>
      </w:r>
    </w:p>
    <w:p w14:paraId="3BBB8CB7" w14:textId="77777777" w:rsidR="00D30E81" w:rsidRPr="004264AF" w:rsidRDefault="00D30E81" w:rsidP="002A6FB7">
      <w:pPr>
        <w:numPr>
          <w:ilvl w:val="0"/>
          <w:numId w:val="37"/>
        </w:numPr>
        <w:spacing w:before="100" w:beforeAutospacing="1" w:after="100" w:afterAutospacing="1" w:line="240" w:lineRule="auto"/>
        <w:ind w:left="851" w:hanging="567"/>
        <w:jc w:val="both"/>
        <w:rPr>
          <w:szCs w:val="24"/>
        </w:rPr>
      </w:pPr>
      <w:r>
        <w:t>les dépenses démesurées ou inconsidérées;</w:t>
      </w:r>
    </w:p>
    <w:p w14:paraId="3BBB8CB8" w14:textId="77777777" w:rsidR="00D30E81" w:rsidRPr="004264AF" w:rsidRDefault="00D30E81" w:rsidP="002A6FB7">
      <w:pPr>
        <w:numPr>
          <w:ilvl w:val="0"/>
          <w:numId w:val="37"/>
        </w:numPr>
        <w:spacing w:before="100" w:beforeAutospacing="1" w:after="100" w:afterAutospacing="1" w:line="240" w:lineRule="auto"/>
        <w:ind w:left="851" w:hanging="567"/>
        <w:jc w:val="both"/>
        <w:rPr>
          <w:szCs w:val="24"/>
        </w:rPr>
      </w:pPr>
      <w:r>
        <w:t>la TVA déductible.</w:t>
      </w:r>
    </w:p>
    <w:p w14:paraId="3BBB8CB9" w14:textId="3B7283C1" w:rsidR="00D30E81" w:rsidRPr="001A04C2" w:rsidRDefault="0093695C" w:rsidP="00797757">
      <w:pPr>
        <w:pStyle w:val="Heading2"/>
        <w:spacing w:before="100" w:beforeAutospacing="1" w:after="100" w:afterAutospacing="1"/>
      </w:pPr>
      <w:bookmarkStart w:id="86" w:name="_Toc441250862"/>
      <w:bookmarkStart w:id="87" w:name="_Toc81831070"/>
      <w:r>
        <w:t>ARTICLE II.20 – CARACTÈRE IDENTIFIABLE ET VÉRIFIABLE DES MONTANTS DÉCLARÉS</w:t>
      </w:r>
      <w:bookmarkEnd w:id="86"/>
      <w:bookmarkEnd w:id="87"/>
    </w:p>
    <w:p w14:paraId="3BBB8CBA" w14:textId="77777777" w:rsidR="00D30E81" w:rsidRPr="00D06D68" w:rsidRDefault="00D30E81" w:rsidP="00797757">
      <w:pPr>
        <w:pStyle w:val="Heading3"/>
        <w:spacing w:before="100" w:beforeAutospacing="1" w:after="100" w:afterAutospacing="1"/>
      </w:pPr>
      <w:bookmarkStart w:id="88" w:name="_Toc441250863"/>
      <w:bookmarkStart w:id="89" w:name="_Toc81831071"/>
      <w:r>
        <w:t>II.20.1 Déclaration des coûts et contributions</w:t>
      </w:r>
      <w:bookmarkEnd w:id="88"/>
      <w:bookmarkEnd w:id="89"/>
    </w:p>
    <w:p w14:paraId="3BBB8CBB" w14:textId="77777777" w:rsidR="00D30E81" w:rsidRPr="004264AF" w:rsidRDefault="00F61875" w:rsidP="00797757">
      <w:pPr>
        <w:spacing w:before="100" w:beforeAutospacing="1" w:after="100" w:afterAutospacing="1" w:line="240" w:lineRule="auto"/>
        <w:jc w:val="both"/>
        <w:rPr>
          <w:szCs w:val="24"/>
        </w:rPr>
      </w:pPr>
      <w:r>
        <w:t>Le bénéficiaire doit déclarer à titre de coûts éligibles ou de contribution demandée:</w:t>
      </w:r>
    </w:p>
    <w:p w14:paraId="3BBB8CBC" w14:textId="55247B14" w:rsidR="00D30E81" w:rsidRPr="00EB1772" w:rsidRDefault="00D30E81" w:rsidP="002A6FB7">
      <w:pPr>
        <w:pStyle w:val="ListParagraph"/>
        <w:numPr>
          <w:ilvl w:val="0"/>
          <w:numId w:val="39"/>
        </w:numPr>
        <w:spacing w:before="240" w:line="240" w:lineRule="auto"/>
        <w:ind w:left="851" w:hanging="567"/>
        <w:jc w:val="both"/>
        <w:rPr>
          <w:szCs w:val="24"/>
        </w:rPr>
      </w:pPr>
      <w:r>
        <w:t>pour les coûts réels: les coûts qu’il a réellement exposés pour l’</w:t>
      </w:r>
      <w:r w:rsidRPr="00EB1772">
        <w:rPr>
          <w:i/>
          <w:szCs w:val="24"/>
        </w:rPr>
        <w:t>action</w:t>
      </w:r>
      <w:r>
        <w:t>;</w:t>
      </w:r>
    </w:p>
    <w:p w14:paraId="3BBB8CBD" w14:textId="77777777" w:rsidR="00D30E81" w:rsidRPr="004264AF" w:rsidRDefault="00D30E81" w:rsidP="002A6FB7">
      <w:pPr>
        <w:numPr>
          <w:ilvl w:val="0"/>
          <w:numId w:val="39"/>
        </w:numPr>
        <w:spacing w:before="240" w:line="240" w:lineRule="auto"/>
        <w:ind w:left="851" w:hanging="567"/>
        <w:jc w:val="both"/>
        <w:rPr>
          <w:b/>
          <w:szCs w:val="24"/>
        </w:rPr>
      </w:pPr>
      <w:r>
        <w:t>pour les coûts unitaires ou les contributions unitaires: le montant obtenu en multipliant le montant unitaire indiqué à l’article I.3.2, point a) ii) ou b), par le nombre réel d’unités utilisées ou produites;</w:t>
      </w:r>
    </w:p>
    <w:p w14:paraId="3BBB8CBE" w14:textId="10422B29" w:rsidR="00D30E81" w:rsidRPr="004264AF" w:rsidRDefault="00D30E81" w:rsidP="002A6FB7">
      <w:pPr>
        <w:numPr>
          <w:ilvl w:val="0"/>
          <w:numId w:val="39"/>
        </w:numPr>
        <w:spacing w:before="240" w:line="240" w:lineRule="auto"/>
        <w:ind w:left="851" w:hanging="567"/>
        <w:jc w:val="both"/>
        <w:rPr>
          <w:bCs/>
          <w:szCs w:val="24"/>
        </w:rPr>
      </w:pPr>
      <w:r>
        <w:t>pour les coûts forfaitaires ou les contributions forfaitaires: le montant global indiqué à l’article I.3.2, point a) iii) ou c), si les tâches ou la partie de l’</w:t>
      </w:r>
      <w:r>
        <w:rPr>
          <w:i/>
          <w:szCs w:val="24"/>
        </w:rPr>
        <w:t>action</w:t>
      </w:r>
      <w:r>
        <w:t xml:space="preserve"> correspondantes décrites à l’annexe II ont été exécutées correctement;</w:t>
      </w:r>
    </w:p>
    <w:p w14:paraId="3BBB8CBF" w14:textId="05EF6F64" w:rsidR="00D30E81" w:rsidRDefault="00D30E81" w:rsidP="002A6FB7">
      <w:pPr>
        <w:numPr>
          <w:ilvl w:val="0"/>
          <w:numId w:val="39"/>
        </w:numPr>
        <w:spacing w:before="240" w:line="240" w:lineRule="auto"/>
        <w:ind w:left="851" w:hanging="567"/>
        <w:jc w:val="both"/>
        <w:rPr>
          <w:szCs w:val="24"/>
        </w:rPr>
      </w:pPr>
      <w:r>
        <w:t>pour les coûts à taux forfaitaire ou les contributions à taux forfaitaire: le montant obtenu en appliquant le taux forfaitaire indiqué à l’article I.3.2, point a) iv) ou d);</w:t>
      </w:r>
    </w:p>
    <w:p w14:paraId="4D910940" w14:textId="09262953" w:rsidR="008F4DDB" w:rsidRPr="001C2768" w:rsidRDefault="008F4DDB" w:rsidP="002A6FB7">
      <w:pPr>
        <w:numPr>
          <w:ilvl w:val="0"/>
          <w:numId w:val="39"/>
        </w:numPr>
        <w:spacing w:before="240" w:line="240" w:lineRule="auto"/>
        <w:ind w:left="851" w:hanging="567"/>
        <w:jc w:val="both"/>
        <w:rPr>
          <w:szCs w:val="24"/>
        </w:rPr>
      </w:pPr>
      <w:r>
        <w:t>pour les financements non liés aux coûts: le montant global indiqué à l’article I.3.2, point e), si les résultats correspondants décrits à l’annexe II ont été obtenus correctement ou si les conditions correspondantes indiquées à ladite annexe ont été remplies correctement;</w:t>
      </w:r>
    </w:p>
    <w:p w14:paraId="3BBB8CC0" w14:textId="77777777" w:rsidR="00D30E81" w:rsidRPr="004264AF" w:rsidRDefault="00D30E81" w:rsidP="002A6FB7">
      <w:pPr>
        <w:numPr>
          <w:ilvl w:val="0"/>
          <w:numId w:val="39"/>
        </w:numPr>
        <w:spacing w:before="240" w:line="240" w:lineRule="auto"/>
        <w:ind w:left="851" w:hanging="567"/>
        <w:jc w:val="both"/>
        <w:rPr>
          <w:szCs w:val="24"/>
        </w:rPr>
      </w:pPr>
      <w:r>
        <w:t>pour les coûts unitaires déclarés sur la base des pratiques habituelles du bénéficiaire en matière de comptabilité analytique: le montant obtenu en multipliant le montant unitaire calculé conformément auxdites pratiques habituelles du bénéficiaire par le nombre réel d’unités utilisées ou produites;</w:t>
      </w:r>
    </w:p>
    <w:p w14:paraId="3BBB8CC1" w14:textId="77777777" w:rsidR="00D30E81" w:rsidRPr="004264AF" w:rsidRDefault="00D30E81" w:rsidP="002A6FB7">
      <w:pPr>
        <w:numPr>
          <w:ilvl w:val="0"/>
          <w:numId w:val="39"/>
        </w:numPr>
        <w:spacing w:before="240" w:line="240" w:lineRule="auto"/>
        <w:ind w:left="851" w:hanging="567"/>
        <w:jc w:val="both"/>
        <w:rPr>
          <w:szCs w:val="24"/>
        </w:rPr>
      </w:pPr>
      <w:r>
        <w:t>pour les coûts forfaitaires déclarés sur la base des pratiques habituelles du bénéficiaire en matière de comptabilité analytique: le montant global calculé conformément auxdites pratiques habituelles du bénéficiaire, si les tâches ou la partie de l’</w:t>
      </w:r>
      <w:r>
        <w:rPr>
          <w:i/>
          <w:szCs w:val="24"/>
        </w:rPr>
        <w:t>action</w:t>
      </w:r>
      <w:r>
        <w:t xml:space="preserve"> correspondantes ont été exécutées correctement;</w:t>
      </w:r>
    </w:p>
    <w:p w14:paraId="3BBB8CC2" w14:textId="31FA5499" w:rsidR="00D30E81" w:rsidRDefault="00D30E81" w:rsidP="002A6FB7">
      <w:pPr>
        <w:numPr>
          <w:ilvl w:val="0"/>
          <w:numId w:val="39"/>
        </w:numPr>
        <w:spacing w:before="240" w:line="240" w:lineRule="auto"/>
        <w:ind w:left="851" w:hanging="567"/>
        <w:jc w:val="both"/>
        <w:rPr>
          <w:szCs w:val="24"/>
        </w:rPr>
      </w:pPr>
      <w:r>
        <w:t>pour les coûts à taux forfaitaire déclarés sur la base des pratiques habituelles du bénéficiaire en matière de comptabilité analytique: le montant obtenu en appliquant le taux forfaitaire calculé conformément auxdites pratiques habituelles du bénéficiaire.</w:t>
      </w:r>
    </w:p>
    <w:p w14:paraId="6B8C413A" w14:textId="1270756F" w:rsidR="008863AD" w:rsidRPr="004264AF" w:rsidRDefault="008863AD" w:rsidP="008863AD">
      <w:pPr>
        <w:spacing w:before="240" w:line="240" w:lineRule="auto"/>
        <w:jc w:val="both"/>
        <w:rPr>
          <w:szCs w:val="24"/>
        </w:rPr>
      </w:pPr>
      <w:r>
        <w:t>Pour les formes de subvention visées aux points b), c), d), f), g) et h), les montants déclarés doivent remplir les conditions énoncées à l’article II.19.1, points a) et b).</w:t>
      </w:r>
    </w:p>
    <w:p w14:paraId="3BBB8CC3" w14:textId="4B0EA41B" w:rsidR="00D30E81" w:rsidRPr="00D06D68" w:rsidRDefault="00D30E81" w:rsidP="001C2768">
      <w:pPr>
        <w:pStyle w:val="Heading3"/>
        <w:spacing w:before="100" w:beforeAutospacing="1" w:after="100" w:afterAutospacing="1"/>
        <w:ind w:left="851" w:hanging="851"/>
      </w:pPr>
      <w:bookmarkStart w:id="90" w:name="_Toc441250864"/>
      <w:bookmarkStart w:id="91" w:name="_Toc81831072"/>
      <w:r>
        <w:t>II.20.2</w:t>
      </w:r>
      <w:r>
        <w:tab/>
        <w:t>Registres et autres pièces justificatives des coûts et contributions déclarés</w:t>
      </w:r>
      <w:bookmarkEnd w:id="90"/>
      <w:bookmarkEnd w:id="91"/>
    </w:p>
    <w:p w14:paraId="3BBB8CC4" w14:textId="77777777" w:rsidR="00D30E81" w:rsidRPr="004264AF" w:rsidRDefault="00F61875" w:rsidP="00797757">
      <w:pPr>
        <w:spacing w:before="100" w:beforeAutospacing="1" w:after="100" w:afterAutospacing="1" w:line="240" w:lineRule="auto"/>
        <w:jc w:val="both"/>
        <w:rPr>
          <w:szCs w:val="24"/>
        </w:rPr>
      </w:pPr>
      <w:r>
        <w:t>Le bénéficiaire doit fournir les éléments suivants s’il est invité à le faire à l’occasion des contrôles et audits décrits à l’article II.27:</w:t>
      </w:r>
    </w:p>
    <w:p w14:paraId="3BBB8CC5" w14:textId="2AE88C50" w:rsidR="00D30E81" w:rsidRPr="00C12AB1" w:rsidRDefault="00D30E81" w:rsidP="002A6FB7">
      <w:pPr>
        <w:pStyle w:val="ListParagraph"/>
        <w:numPr>
          <w:ilvl w:val="0"/>
          <w:numId w:val="76"/>
        </w:numPr>
        <w:spacing w:before="100" w:beforeAutospacing="1" w:after="0" w:line="240" w:lineRule="auto"/>
        <w:jc w:val="both"/>
        <w:rPr>
          <w:b/>
          <w:szCs w:val="24"/>
        </w:rPr>
      </w:pPr>
      <w:r>
        <w:t>pour les coûts réels: les pièces justificatives appropriées pour prouver les coûts déclarés, tels que les contrats, factures et documents comptables.</w:t>
      </w:r>
    </w:p>
    <w:p w14:paraId="3BBB8CC6" w14:textId="77777777" w:rsidR="00D30E81" w:rsidRPr="004264AF" w:rsidRDefault="00D30E81" w:rsidP="001C2768">
      <w:pPr>
        <w:spacing w:after="100" w:afterAutospacing="1" w:line="240" w:lineRule="auto"/>
        <w:ind w:left="851"/>
        <w:jc w:val="both"/>
        <w:rPr>
          <w:szCs w:val="24"/>
        </w:rPr>
      </w:pPr>
      <w:r>
        <w:t>En outre, les procédures comptables et de contrôle interne habituelles du bénéficiaire doivent permettre d’établir un rapprochement direct entre les montants déclarés et ceux inscrits dans sa comptabilité et les montants indiqués dans les pièces justificatives;</w:t>
      </w:r>
    </w:p>
    <w:p w14:paraId="3BBB8CC7" w14:textId="77777777" w:rsidR="00D30E81" w:rsidRPr="004264AF" w:rsidRDefault="00D30E81" w:rsidP="002A6FB7">
      <w:pPr>
        <w:numPr>
          <w:ilvl w:val="0"/>
          <w:numId w:val="76"/>
        </w:numPr>
        <w:spacing w:before="100" w:beforeAutospacing="1" w:after="0" w:line="240" w:lineRule="auto"/>
        <w:jc w:val="both"/>
        <w:rPr>
          <w:szCs w:val="24"/>
        </w:rPr>
      </w:pPr>
      <w:r>
        <w:t>pour les coûts unitaires ou les contributions unitaires: les pièces justificatives appropriées pour prouver le nombre d’unités déclarées.</w:t>
      </w:r>
    </w:p>
    <w:p w14:paraId="3BBB8CC8" w14:textId="77777777" w:rsidR="00D30E81" w:rsidRPr="004264AF" w:rsidRDefault="00D30E81" w:rsidP="001C2768">
      <w:pPr>
        <w:spacing w:after="100" w:afterAutospacing="1" w:line="240" w:lineRule="auto"/>
        <w:ind w:left="851"/>
        <w:jc w:val="both"/>
        <w:rPr>
          <w:szCs w:val="24"/>
        </w:rPr>
      </w:pPr>
      <w:r>
        <w:t>Le bénéficiaire n’est pas tenu d’identifier les coûts éligibles réels couverts ni de présenter de pièces justificatives, telles que des documents comptables, pour prouver le montant unitaire déclaré;</w:t>
      </w:r>
    </w:p>
    <w:p w14:paraId="3BBB8CC9" w14:textId="77777777" w:rsidR="00D30E81" w:rsidRPr="004264AF" w:rsidRDefault="00D30E81" w:rsidP="002A6FB7">
      <w:pPr>
        <w:numPr>
          <w:ilvl w:val="0"/>
          <w:numId w:val="76"/>
        </w:numPr>
        <w:spacing w:before="100" w:beforeAutospacing="1" w:after="0" w:line="240" w:lineRule="auto"/>
        <w:jc w:val="both"/>
        <w:rPr>
          <w:szCs w:val="24"/>
        </w:rPr>
      </w:pPr>
      <w:r>
        <w:t>pour les coûts forfaitaires ou les contributions forfaitaires: les pièces justificatives appropriées pour prouver que l’</w:t>
      </w:r>
      <w:r>
        <w:rPr>
          <w:i/>
          <w:szCs w:val="24"/>
        </w:rPr>
        <w:t>action</w:t>
      </w:r>
      <w:r>
        <w:t xml:space="preserve"> a été correctement exécutée.</w:t>
      </w:r>
    </w:p>
    <w:p w14:paraId="3BBB8CCA" w14:textId="77777777" w:rsidR="00D30E81" w:rsidRPr="004264AF" w:rsidRDefault="00D30E81" w:rsidP="001C2768">
      <w:pPr>
        <w:spacing w:after="100" w:afterAutospacing="1" w:line="240" w:lineRule="auto"/>
        <w:ind w:left="851"/>
        <w:jc w:val="both"/>
        <w:rPr>
          <w:szCs w:val="24"/>
        </w:rPr>
      </w:pPr>
      <w:r>
        <w:t>Le bénéficiaire n’est pas tenu d’identifier les coûts éligibles réels couverts ni de présenter de pièces justificatives, telles que des documents comptables, pour prouver le montant forfaitaire déclaré;</w:t>
      </w:r>
    </w:p>
    <w:p w14:paraId="3BBB8CCB" w14:textId="77777777" w:rsidR="00D30E81" w:rsidRPr="004264AF" w:rsidRDefault="00D30E81" w:rsidP="002A6FB7">
      <w:pPr>
        <w:numPr>
          <w:ilvl w:val="0"/>
          <w:numId w:val="76"/>
        </w:numPr>
        <w:spacing w:before="100" w:beforeAutospacing="1" w:after="0" w:line="240" w:lineRule="auto"/>
        <w:jc w:val="both"/>
        <w:rPr>
          <w:szCs w:val="24"/>
        </w:rPr>
      </w:pPr>
      <w:r>
        <w:t>pour les coûts à taux forfaitaire ou les contributions à taux forfaitaire: les pièces justificatives appropriées pour prouver les coûts éligibles ou la contribution demandée auxquels le taux forfaitaire s’applique.</w:t>
      </w:r>
    </w:p>
    <w:p w14:paraId="1A7DF0B5" w14:textId="77777777" w:rsidR="008F4DDB" w:rsidRDefault="00D30E81" w:rsidP="001C2768">
      <w:pPr>
        <w:spacing w:after="0" w:line="240" w:lineRule="auto"/>
        <w:ind w:left="851"/>
        <w:jc w:val="both"/>
        <w:rPr>
          <w:szCs w:val="24"/>
        </w:rPr>
      </w:pPr>
      <w:r>
        <w:t xml:space="preserve">Le bénéficiaire n’est pas tenu d’identifier les coûts éligibles réels couverts ni de présenter de pièces justificatives, telles que des documents comptables, pour prouver le taux forfaitaire appliqué;   </w:t>
      </w:r>
    </w:p>
    <w:p w14:paraId="38422C10" w14:textId="77777777" w:rsidR="008F4DDB" w:rsidRPr="004B4FFD" w:rsidRDefault="008F4DDB" w:rsidP="002A6FB7">
      <w:pPr>
        <w:numPr>
          <w:ilvl w:val="0"/>
          <w:numId w:val="76"/>
        </w:numPr>
        <w:spacing w:before="100" w:beforeAutospacing="1" w:after="0" w:line="240" w:lineRule="auto"/>
        <w:jc w:val="both"/>
        <w:rPr>
          <w:szCs w:val="24"/>
        </w:rPr>
      </w:pPr>
      <w:r>
        <w:t>pour les financements non liés aux coûts: les pièces justificatives appropriées pour prouver que l’</w:t>
      </w:r>
      <w:r>
        <w:rPr>
          <w:i/>
          <w:szCs w:val="24"/>
        </w:rPr>
        <w:t>action</w:t>
      </w:r>
      <w:r>
        <w:t xml:space="preserve"> a été correctement exécutée.</w:t>
      </w:r>
    </w:p>
    <w:p w14:paraId="3BBB8CCC" w14:textId="2D4B5B40" w:rsidR="00D30E81" w:rsidRPr="008F4DDB" w:rsidRDefault="008F4DDB" w:rsidP="001C2768">
      <w:pPr>
        <w:spacing w:after="0" w:line="240" w:lineRule="auto"/>
        <w:ind w:left="851"/>
        <w:jc w:val="both"/>
        <w:rPr>
          <w:szCs w:val="24"/>
        </w:rPr>
      </w:pPr>
      <w:r>
        <w:t xml:space="preserve">Le bénéficiaire n’est pas tenu d’identifier les coûts éligibles réels couverts ni de présenter de pièces justificatives, telles que des documents comptables, pour prouver le montant déclaré en tant que financement non lié aux coûts; </w:t>
      </w:r>
    </w:p>
    <w:p w14:paraId="5CDF7C20" w14:textId="31DE1D89" w:rsidR="00E6321B" w:rsidRPr="00D92B6C" w:rsidRDefault="00D30E81" w:rsidP="002A6FB7">
      <w:pPr>
        <w:numPr>
          <w:ilvl w:val="0"/>
          <w:numId w:val="76"/>
        </w:numPr>
        <w:spacing w:before="240" w:line="240" w:lineRule="auto"/>
        <w:jc w:val="both"/>
        <w:rPr>
          <w:szCs w:val="24"/>
        </w:rPr>
      </w:pPr>
      <w:r>
        <w:t>pour les coûts unitaires déclarés sur la base des pratiques habituelles du bénéficiaire en matière de comptabilité analytique: les pièces justificatives appropriées pour prouver le nombre d’unités déclarées;</w:t>
      </w:r>
    </w:p>
    <w:p w14:paraId="3BBB8CCE" w14:textId="2FDA1835" w:rsidR="00D30E81" w:rsidRPr="00E6321B" w:rsidRDefault="00D30E81" w:rsidP="002A6FB7">
      <w:pPr>
        <w:numPr>
          <w:ilvl w:val="0"/>
          <w:numId w:val="76"/>
        </w:numPr>
        <w:spacing w:before="240" w:line="240" w:lineRule="auto"/>
        <w:jc w:val="both"/>
        <w:rPr>
          <w:szCs w:val="24"/>
        </w:rPr>
      </w:pPr>
      <w:r>
        <w:t>pour les coûts forfaitaires déclarés sur la base des pratiques habituelles du bénéficiaire en matière de comptabilité analytique: les pièces justificatives appropriées pour prouver que l’</w:t>
      </w:r>
      <w:r>
        <w:rPr>
          <w:i/>
          <w:szCs w:val="24"/>
        </w:rPr>
        <w:t>action</w:t>
      </w:r>
      <w:r>
        <w:t xml:space="preserve"> a été correctement exécutée;</w:t>
      </w:r>
    </w:p>
    <w:p w14:paraId="3BBB8CCF" w14:textId="77777777" w:rsidR="00D30E81" w:rsidRPr="004264AF" w:rsidRDefault="00D30E81" w:rsidP="002A6FB7">
      <w:pPr>
        <w:numPr>
          <w:ilvl w:val="0"/>
          <w:numId w:val="76"/>
        </w:numPr>
        <w:spacing w:before="240" w:line="240" w:lineRule="auto"/>
        <w:jc w:val="both"/>
        <w:rPr>
          <w:szCs w:val="24"/>
        </w:rPr>
      </w:pPr>
      <w:r>
        <w:t>pour les coûts à taux forfaitaire déclarés sur la base des pratiques habituelles du bénéficiaire en matière de comptabilité analytique: les pièces justificatives appropriées pour prouver les coûts éligibles auxquels le taux forfaitaire s’applique.</w:t>
      </w:r>
    </w:p>
    <w:p w14:paraId="3BBB8CD0" w14:textId="77777777" w:rsidR="00D30E81" w:rsidRPr="00D06D68" w:rsidRDefault="00D30E81" w:rsidP="00797757">
      <w:pPr>
        <w:pStyle w:val="Heading3"/>
        <w:spacing w:before="100" w:beforeAutospacing="1" w:after="100" w:afterAutospacing="1"/>
      </w:pPr>
      <w:bookmarkStart w:id="92" w:name="_Toc441250865"/>
      <w:bookmarkStart w:id="93" w:name="_Toc81831073"/>
      <w:r>
        <w:t>II.20.3 Conditions visant à déterminer la conformité des pratiques en matière de comptabilité analytique</w:t>
      </w:r>
      <w:bookmarkEnd w:id="92"/>
      <w:bookmarkEnd w:id="93"/>
    </w:p>
    <w:p w14:paraId="3BBB8CD1" w14:textId="0EBB2793" w:rsidR="00D30E81" w:rsidRPr="004264AF" w:rsidRDefault="00D30E81" w:rsidP="001C2768">
      <w:pPr>
        <w:tabs>
          <w:tab w:val="left" w:pos="851"/>
        </w:tabs>
        <w:autoSpaceDE w:val="0"/>
        <w:autoSpaceDN w:val="0"/>
        <w:adjustRightInd w:val="0"/>
        <w:spacing w:before="100" w:beforeAutospacing="1" w:after="0" w:line="240" w:lineRule="auto"/>
        <w:ind w:left="960" w:hanging="960"/>
        <w:jc w:val="both"/>
        <w:rPr>
          <w:szCs w:val="24"/>
        </w:rPr>
      </w:pPr>
      <w:r>
        <w:rPr>
          <w:b/>
          <w:szCs w:val="24"/>
        </w:rPr>
        <w:t xml:space="preserve">II.20.3.1 </w:t>
      </w:r>
      <w:r>
        <w:t>Dans les cas prévus à l’article II.20.2, points f), g) et h), le bénéficiaire n’est pas tenu d’identifier les coûts éligibles réels couverts, mais il doit veiller à ce que les pratiques de comptabilité analytique suivies pour déclarer les coûts éligibles respectent les conditions suivantes:</w:t>
      </w:r>
    </w:p>
    <w:p w14:paraId="3BBB8CD2" w14:textId="3048F166" w:rsidR="00D30E81" w:rsidRPr="00AD17CF" w:rsidRDefault="00D30E81" w:rsidP="002A6FB7">
      <w:pPr>
        <w:pStyle w:val="ListParagraph"/>
        <w:numPr>
          <w:ilvl w:val="0"/>
          <w:numId w:val="40"/>
        </w:numPr>
        <w:spacing w:after="100" w:afterAutospacing="1" w:line="240" w:lineRule="auto"/>
        <w:ind w:left="1276" w:hanging="283"/>
        <w:jc w:val="both"/>
        <w:rPr>
          <w:szCs w:val="24"/>
        </w:rPr>
      </w:pPr>
      <w:r>
        <w:t>les pratiques de comptabilité analytique suivies constituent ses pratiques habituelles en matière de comptabilité analytique et sont appliquées de façon systématique, en fonction de critères objectifs indépendants de la source de financement;</w:t>
      </w:r>
    </w:p>
    <w:p w14:paraId="3BBB8CD3" w14:textId="77777777" w:rsidR="00D30E81" w:rsidRPr="004264AF" w:rsidRDefault="00D30E81" w:rsidP="002A6FB7">
      <w:pPr>
        <w:numPr>
          <w:ilvl w:val="0"/>
          <w:numId w:val="40"/>
        </w:numPr>
        <w:spacing w:before="100" w:beforeAutospacing="1" w:after="100" w:afterAutospacing="1" w:line="240" w:lineRule="auto"/>
        <w:ind w:left="1560" w:hanging="567"/>
        <w:jc w:val="both"/>
        <w:rPr>
          <w:szCs w:val="24"/>
        </w:rPr>
      </w:pPr>
      <w:r>
        <w:t>les coûts déclarés peuvent être directement rapprochés des montants inscrits dans sa comptabilité générale; et</w:t>
      </w:r>
    </w:p>
    <w:p w14:paraId="3BBB8CD4" w14:textId="77777777" w:rsidR="00D30E81" w:rsidRPr="004264AF" w:rsidRDefault="00D30E81" w:rsidP="002A6FB7">
      <w:pPr>
        <w:numPr>
          <w:ilvl w:val="0"/>
          <w:numId w:val="40"/>
        </w:numPr>
        <w:spacing w:before="100" w:beforeAutospacing="1" w:after="100" w:afterAutospacing="1" w:line="240" w:lineRule="auto"/>
        <w:ind w:left="1560" w:hanging="567"/>
        <w:jc w:val="both"/>
        <w:rPr>
          <w:szCs w:val="24"/>
        </w:rPr>
      </w:pPr>
      <w:r>
        <w:t>les catégories de coûts utilisées pour déterminer les coûts déclarés excluent tous coûts inéligibles ou coûts couverts par d’autres formes de subvention, comme le prévoit l’article I.3.2.</w:t>
      </w:r>
    </w:p>
    <w:p w14:paraId="3BBB8CD5" w14:textId="77777777" w:rsidR="00D30E81" w:rsidRPr="004264AF" w:rsidRDefault="00D30E81" w:rsidP="00797757">
      <w:pPr>
        <w:spacing w:before="100" w:beforeAutospacing="1" w:after="100" w:afterAutospacing="1" w:line="240" w:lineRule="auto"/>
        <w:ind w:left="993" w:hanging="993"/>
        <w:jc w:val="both"/>
        <w:rPr>
          <w:szCs w:val="24"/>
        </w:rPr>
      </w:pPr>
      <w:r>
        <w:rPr>
          <w:b/>
          <w:szCs w:val="24"/>
        </w:rPr>
        <w:t>II.20.3.2</w:t>
      </w:r>
      <w:r>
        <w:tab/>
        <w:t>Si les conditions particulières le prévoient, le bénéficiaire peut demander à la Commission de vérifier la conformité de ses pratiques habituelles en matière de comptabilité analytique. Si les conditions particulières l’exigent, la demande doit être accompagnée d’un certificat de conformité desdites pratiques («certificat de conformité des pratiques en matière de comptabilité analytique»).</w:t>
      </w:r>
    </w:p>
    <w:p w14:paraId="3BBB8CD6" w14:textId="77777777" w:rsidR="00D30E81" w:rsidRPr="004264AF" w:rsidRDefault="00D30E81" w:rsidP="001C2768">
      <w:pPr>
        <w:spacing w:before="100" w:beforeAutospacing="1" w:after="0" w:line="240" w:lineRule="auto"/>
        <w:ind w:left="1559" w:hanging="567"/>
        <w:jc w:val="both"/>
        <w:rPr>
          <w:szCs w:val="24"/>
        </w:rPr>
      </w:pPr>
      <w:r>
        <w:t>Le certificat de conformité des pratiques en matière de comptabilité analytique doit être:</w:t>
      </w:r>
    </w:p>
    <w:p w14:paraId="3BBB8CD7" w14:textId="22C47090" w:rsidR="00D30E81" w:rsidRPr="008A401C" w:rsidRDefault="00D30E81" w:rsidP="002A6FB7">
      <w:pPr>
        <w:pStyle w:val="ListParagraph"/>
        <w:numPr>
          <w:ilvl w:val="0"/>
          <w:numId w:val="41"/>
        </w:numPr>
        <w:spacing w:after="100" w:afterAutospacing="1" w:line="240" w:lineRule="auto"/>
        <w:ind w:firstLine="273"/>
        <w:jc w:val="both"/>
        <w:rPr>
          <w:szCs w:val="24"/>
        </w:rPr>
      </w:pPr>
      <w:r>
        <w:t>établi par un auditeur externe agréé ou, si le bénéficiaire est un organisme public, par un agent public qualifié et indépendant; et</w:t>
      </w:r>
    </w:p>
    <w:p w14:paraId="3BBB8CD8" w14:textId="77777777" w:rsidR="00D30E81" w:rsidRPr="004264AF" w:rsidRDefault="00D30E81" w:rsidP="002A6FB7">
      <w:pPr>
        <w:numPr>
          <w:ilvl w:val="0"/>
          <w:numId w:val="41"/>
        </w:numPr>
        <w:spacing w:before="100" w:beforeAutospacing="1" w:after="100" w:afterAutospacing="1" w:line="240" w:lineRule="auto"/>
        <w:ind w:left="1560" w:hanging="567"/>
        <w:jc w:val="both"/>
        <w:rPr>
          <w:szCs w:val="24"/>
        </w:rPr>
      </w:pPr>
      <w:r>
        <w:t>rédigé selon le modèle figurant à l’annexe VII.</w:t>
      </w:r>
    </w:p>
    <w:p w14:paraId="3BBB8CD9" w14:textId="77777777" w:rsidR="00D30E81" w:rsidRPr="004264AF" w:rsidRDefault="00D30E81" w:rsidP="001C2768">
      <w:pPr>
        <w:spacing w:before="100" w:beforeAutospacing="1" w:after="100" w:afterAutospacing="1" w:line="240" w:lineRule="auto"/>
        <w:ind w:left="992" w:firstLine="1"/>
        <w:jc w:val="both"/>
        <w:rPr>
          <w:szCs w:val="24"/>
        </w:rPr>
      </w:pPr>
      <w:r>
        <w:t>Le certificat doit attester que les pratiques de comptabilité analytique du bénéficiaire suivies pour déclarer les coûts éligibles respectent les conditions mentionnées à l’article II.20.3.1 et les conditions supplémentaires éventuellement stipulées dans les conditions particulières.</w:t>
      </w:r>
    </w:p>
    <w:p w14:paraId="3BBB8CDA" w14:textId="77777777" w:rsidR="00D30E81" w:rsidRPr="004264AF" w:rsidRDefault="00D30E81" w:rsidP="001C2768">
      <w:pPr>
        <w:spacing w:before="100" w:beforeAutospacing="1" w:after="0" w:line="240" w:lineRule="auto"/>
        <w:ind w:left="992" w:hanging="992"/>
        <w:jc w:val="both"/>
        <w:rPr>
          <w:szCs w:val="24"/>
        </w:rPr>
      </w:pPr>
      <w:r>
        <w:rPr>
          <w:b/>
          <w:szCs w:val="24"/>
        </w:rPr>
        <w:t>II.20.3.3</w:t>
      </w:r>
      <w:r>
        <w:tab/>
        <w:t>Si la Commission a confirmé que les pratiques habituelles du bénéficiaire en matière de comptabilité analytique sont conformes, les coûts déclarés en application de ces pratiques ne peuvent pas être contestés a posteriori, si:</w:t>
      </w:r>
    </w:p>
    <w:p w14:paraId="3BBB8CDB" w14:textId="6527A7BE" w:rsidR="00D30E81" w:rsidRPr="00BF5E32" w:rsidRDefault="00D30E81" w:rsidP="002A6FB7">
      <w:pPr>
        <w:pStyle w:val="ListParagraph"/>
        <w:numPr>
          <w:ilvl w:val="0"/>
          <w:numId w:val="42"/>
        </w:numPr>
        <w:spacing w:after="100" w:afterAutospacing="1" w:line="240" w:lineRule="auto"/>
        <w:ind w:firstLine="273"/>
        <w:jc w:val="both"/>
        <w:rPr>
          <w:szCs w:val="24"/>
        </w:rPr>
      </w:pPr>
      <w:r>
        <w:t>les pratiques effectivement suivies correspondent à celles approuvées par la Commission; et</w:t>
      </w:r>
    </w:p>
    <w:p w14:paraId="3BBB8CDC" w14:textId="77777777" w:rsidR="00D30E81" w:rsidRPr="004264AF" w:rsidRDefault="00D30E81" w:rsidP="002A6FB7">
      <w:pPr>
        <w:numPr>
          <w:ilvl w:val="0"/>
          <w:numId w:val="42"/>
        </w:numPr>
        <w:spacing w:before="100" w:beforeAutospacing="1" w:after="100" w:afterAutospacing="1" w:line="240" w:lineRule="auto"/>
        <w:ind w:left="1560" w:hanging="567"/>
        <w:jc w:val="both"/>
        <w:rPr>
          <w:szCs w:val="24"/>
        </w:rPr>
      </w:pPr>
      <w:r>
        <w:t>le bénéficiaire n’a dissimulé aucune information pour faire approuver ses pratiques en matière de comptabilité analytique.</w:t>
      </w:r>
    </w:p>
    <w:p w14:paraId="3BBB8CDD" w14:textId="59D84410" w:rsidR="00D30E81" w:rsidRPr="001A04C2" w:rsidRDefault="0093695C" w:rsidP="00797757">
      <w:pPr>
        <w:pStyle w:val="Heading2"/>
        <w:spacing w:before="100" w:beforeAutospacing="1" w:after="100" w:afterAutospacing="1"/>
      </w:pPr>
      <w:bookmarkStart w:id="94" w:name="_Toc441250866"/>
      <w:bookmarkStart w:id="95" w:name="_Toc81831074"/>
      <w:r>
        <w:t>ARTICLE II.21 – ÉLIGIBILITÉ DES COÛTS DES ENTITÉS AFFILIÉES AU BÉNÉFICIAIRE</w:t>
      </w:r>
      <w:bookmarkEnd w:id="94"/>
      <w:bookmarkEnd w:id="95"/>
    </w:p>
    <w:p w14:paraId="3BBB8CDE" w14:textId="77777777" w:rsidR="00D30E81" w:rsidRPr="004264AF" w:rsidRDefault="00D30E81" w:rsidP="001C2768">
      <w:pPr>
        <w:spacing w:before="100" w:beforeAutospacing="1" w:after="0" w:line="240" w:lineRule="auto"/>
        <w:jc w:val="both"/>
        <w:rPr>
          <w:szCs w:val="24"/>
        </w:rPr>
      </w:pPr>
      <w:r>
        <w:t>Si les conditions particulières contiennent une disposition relative aux entités affiliées au bénéficiaire, les coûts exposés par une telle entité sont éligibles:</w:t>
      </w:r>
    </w:p>
    <w:p w14:paraId="3BBB8CDF" w14:textId="01FA3C92" w:rsidR="00D30E81" w:rsidRPr="00B01375" w:rsidRDefault="00D30E81" w:rsidP="002A6FB7">
      <w:pPr>
        <w:pStyle w:val="ListParagraph"/>
        <w:numPr>
          <w:ilvl w:val="0"/>
          <w:numId w:val="43"/>
        </w:numPr>
        <w:spacing w:after="100" w:afterAutospacing="1" w:line="240" w:lineRule="auto"/>
        <w:ind w:left="851" w:hanging="567"/>
        <w:jc w:val="both"/>
        <w:rPr>
          <w:szCs w:val="24"/>
        </w:rPr>
      </w:pPr>
      <w:r>
        <w:t>s’ils remplissent les conditions imposées au bénéficiaire aux articles II.19 et II.20; et</w:t>
      </w:r>
    </w:p>
    <w:p w14:paraId="3BBB8CE0" w14:textId="77777777" w:rsidR="00D30E81" w:rsidRPr="004264AF" w:rsidRDefault="00D30E81" w:rsidP="002A6FB7">
      <w:pPr>
        <w:numPr>
          <w:ilvl w:val="0"/>
          <w:numId w:val="43"/>
        </w:numPr>
        <w:spacing w:before="100" w:beforeAutospacing="1" w:after="100" w:afterAutospacing="1" w:line="240" w:lineRule="auto"/>
        <w:ind w:left="851" w:hanging="567"/>
        <w:jc w:val="both"/>
        <w:rPr>
          <w:szCs w:val="24"/>
        </w:rPr>
      </w:pPr>
      <w:r>
        <w:t>si le bénéficiaire veille à ce que les conditions qui lui sont applicables en vertu des articles II.4, II.5, II.6, II.8, II.10, II.11 et II.27 le soient également à l’entité.</w:t>
      </w:r>
    </w:p>
    <w:p w14:paraId="3BBB8CE1" w14:textId="233E42B7" w:rsidR="00D30E81" w:rsidRPr="001A04C2" w:rsidRDefault="0093695C" w:rsidP="00797757">
      <w:pPr>
        <w:pStyle w:val="Heading2"/>
        <w:spacing w:before="100" w:beforeAutospacing="1" w:after="100" w:afterAutospacing="1"/>
      </w:pPr>
      <w:bookmarkStart w:id="96" w:name="_Toc441250867"/>
      <w:bookmarkStart w:id="97" w:name="_Toc81831075"/>
      <w:r>
        <w:t>ARTICLE II.22 – TRANSFERTS BUDGÉTAIRES</w:t>
      </w:r>
      <w:bookmarkEnd w:id="96"/>
      <w:bookmarkEnd w:id="97"/>
    </w:p>
    <w:p w14:paraId="3BBB8CE2" w14:textId="3111778C" w:rsidR="00D30E81" w:rsidRPr="004264AF" w:rsidRDefault="00DB7B4E" w:rsidP="00797757">
      <w:pPr>
        <w:spacing w:before="100" w:beforeAutospacing="1" w:after="100" w:afterAutospacing="1" w:line="240" w:lineRule="auto"/>
        <w:jc w:val="both"/>
        <w:rPr>
          <w:szCs w:val="24"/>
        </w:rPr>
      </w:pPr>
      <w:r>
        <w:t>Le bénéficiaire est autorisé à adapter le budget prévisionnel figurant à l’annexe III par des transferts entre les différentes catégories budgétaires, si l’</w:t>
      </w:r>
      <w:r>
        <w:rPr>
          <w:i/>
          <w:szCs w:val="24"/>
        </w:rPr>
        <w:t>action</w:t>
      </w:r>
      <w:r>
        <w:t xml:space="preserve"> est exécutée ainsi qu’il est prévu à l’annexe I. Cette adaptation ne nécessite pas d’avenant à la convention au sens de l’article II.13.</w:t>
      </w:r>
    </w:p>
    <w:p w14:paraId="3BBB8CE3" w14:textId="77777777" w:rsidR="00D30E81" w:rsidRPr="004264AF" w:rsidRDefault="00D30E81" w:rsidP="00797757">
      <w:pPr>
        <w:spacing w:before="100" w:beforeAutospacing="1" w:after="100" w:afterAutospacing="1" w:line="240" w:lineRule="auto"/>
        <w:jc w:val="both"/>
        <w:rPr>
          <w:szCs w:val="24"/>
        </w:rPr>
      </w:pPr>
      <w:r>
        <w:t xml:space="preserve">Le bénéficiaire ne peut cependant pas ajouter de coûts liés à des </w:t>
      </w:r>
      <w:r>
        <w:rPr>
          <w:i/>
          <w:szCs w:val="24"/>
        </w:rPr>
        <w:t>contrats de sous-traitance</w:t>
      </w:r>
      <w:r>
        <w:t xml:space="preserve"> non prévus à l’annexe I, à moins que ces </w:t>
      </w:r>
      <w:r>
        <w:rPr>
          <w:i/>
          <w:szCs w:val="24"/>
        </w:rPr>
        <w:t>contrats de sous-traitance</w:t>
      </w:r>
      <w:r>
        <w:t xml:space="preserve"> supplémentaires ne soient approuvés par la Commission conformément à l’article II.11.1, point d).</w:t>
      </w:r>
    </w:p>
    <w:p w14:paraId="3BBB8CE4" w14:textId="3C45D7DF" w:rsidR="00D30E81" w:rsidRPr="004264AF" w:rsidRDefault="00D30E81" w:rsidP="00797757">
      <w:pPr>
        <w:spacing w:before="100" w:beforeAutospacing="1" w:after="100" w:afterAutospacing="1" w:line="240" w:lineRule="auto"/>
        <w:jc w:val="both"/>
        <w:rPr>
          <w:i/>
          <w:szCs w:val="24"/>
        </w:rPr>
      </w:pPr>
      <w:r>
        <w:t>Les deux premiers alinéas ne s’appliquent pas aux montants qui, conformément à l’article I.3.2, point a) iii) ou c), prennent la forme de montants forfaitaires ou qui, conformément à l’article I.3.2, point e), prennent la forme d’un financement non lié aux coûts.</w:t>
      </w:r>
    </w:p>
    <w:p w14:paraId="3BBB8CE5" w14:textId="5F3129B2" w:rsidR="00D30E81" w:rsidRPr="001A04C2" w:rsidRDefault="005A7083" w:rsidP="00797757">
      <w:pPr>
        <w:pStyle w:val="Heading2"/>
        <w:spacing w:before="100" w:beforeAutospacing="1" w:after="100" w:afterAutospacing="1"/>
      </w:pPr>
      <w:bookmarkStart w:id="98" w:name="_Toc441250868"/>
      <w:bookmarkStart w:id="99" w:name="_Toc81831076"/>
      <w:r>
        <w:t>ARTICLE II.23 – NON-RESPECT DES OBLIGATIONS EN MATIÈRE DE COMMUNICATION D’INFORMATIONS</w:t>
      </w:r>
      <w:bookmarkEnd w:id="98"/>
      <w:bookmarkEnd w:id="99"/>
    </w:p>
    <w:p w14:paraId="3BBB8CE7" w14:textId="77777777" w:rsidR="00D30E81" w:rsidRPr="004264AF" w:rsidRDefault="00D30E81" w:rsidP="001C2768">
      <w:pPr>
        <w:spacing w:before="100" w:beforeAutospacing="1" w:after="0" w:line="240" w:lineRule="auto"/>
        <w:jc w:val="both"/>
        <w:rPr>
          <w:bCs/>
          <w:szCs w:val="24"/>
        </w:rPr>
      </w:pPr>
      <w:r>
        <w:t>La Commission peut résilier la convention conformément à l’article II.17.2.1, point b), et réduire la subvention conformément à l’article II.25.4, si le bénéficiaire:</w:t>
      </w:r>
    </w:p>
    <w:p w14:paraId="3BBB8CE8" w14:textId="56108111" w:rsidR="00D30E81" w:rsidRPr="00D434A5" w:rsidRDefault="00D30E81" w:rsidP="002A6FB7">
      <w:pPr>
        <w:pStyle w:val="ListParagraph"/>
        <w:numPr>
          <w:ilvl w:val="0"/>
          <w:numId w:val="44"/>
        </w:numPr>
        <w:spacing w:after="100" w:afterAutospacing="1" w:line="240" w:lineRule="auto"/>
        <w:ind w:hanging="436"/>
        <w:jc w:val="both"/>
        <w:rPr>
          <w:bCs/>
          <w:szCs w:val="24"/>
        </w:rPr>
      </w:pPr>
      <w:r>
        <w:t>n’a pas présenté de demande de paiement intermédiaire ou de paiement du solde accompagnée des documents, telle que visée à l’article I.4.3 ou I.4.4, dans les 60 jours civils suivant la fin de la période de rapport correspondante; et</w:t>
      </w:r>
    </w:p>
    <w:p w14:paraId="3BBB8CE9" w14:textId="769A3E16" w:rsidR="00D30E81" w:rsidRPr="004264AF" w:rsidRDefault="00D30E81" w:rsidP="002A6FB7">
      <w:pPr>
        <w:numPr>
          <w:ilvl w:val="0"/>
          <w:numId w:val="44"/>
        </w:numPr>
        <w:spacing w:before="100" w:beforeAutospacing="1" w:after="100" w:afterAutospacing="1" w:line="240" w:lineRule="auto"/>
        <w:ind w:left="709" w:hanging="425"/>
        <w:jc w:val="both"/>
        <w:rPr>
          <w:i/>
          <w:szCs w:val="24"/>
        </w:rPr>
      </w:pPr>
      <w:r>
        <w:t>ne présente toujours pas cette demande dans les 60 jours civils suivant un rappel écrit adressé par la Commission.</w:t>
      </w:r>
    </w:p>
    <w:p w14:paraId="3BBB8CEE" w14:textId="77777777" w:rsidR="00D30E81" w:rsidRPr="001A04C2" w:rsidRDefault="0093695C" w:rsidP="00797757">
      <w:pPr>
        <w:pStyle w:val="Heading2"/>
        <w:spacing w:before="100" w:beforeAutospacing="1" w:after="100" w:afterAutospacing="1"/>
      </w:pPr>
      <w:bookmarkStart w:id="100" w:name="_Toc441250869"/>
      <w:bookmarkStart w:id="101" w:name="_Toc81831077"/>
      <w:r>
        <w:t>ARTICLE II.24 – SUSPENSION DES PAIEMENTS ET DU DÉLAI DE PAIEMENT</w:t>
      </w:r>
      <w:bookmarkEnd w:id="100"/>
      <w:bookmarkEnd w:id="101"/>
    </w:p>
    <w:p w14:paraId="3BBB8CEF" w14:textId="77777777" w:rsidR="00D30E81" w:rsidRPr="00D06D68" w:rsidRDefault="00D30E81" w:rsidP="00797757">
      <w:pPr>
        <w:pStyle w:val="Heading3"/>
        <w:spacing w:before="100" w:beforeAutospacing="1" w:after="100" w:afterAutospacing="1"/>
      </w:pPr>
      <w:bookmarkStart w:id="102" w:name="_Toc441250870"/>
      <w:bookmarkStart w:id="103" w:name="_Toc81831078"/>
      <w:r>
        <w:t>II.24.1 Suspension des paiements</w:t>
      </w:r>
      <w:bookmarkEnd w:id="102"/>
      <w:bookmarkEnd w:id="103"/>
      <w:r>
        <w:t xml:space="preserve"> </w:t>
      </w:r>
    </w:p>
    <w:p w14:paraId="3BBB8CF0" w14:textId="77777777" w:rsidR="00D30E81" w:rsidRPr="00D06D68" w:rsidRDefault="00D30E81" w:rsidP="00797757">
      <w:pPr>
        <w:pStyle w:val="Heading4"/>
        <w:spacing w:before="100" w:beforeAutospacing="1" w:after="100" w:afterAutospacing="1"/>
      </w:pPr>
      <w:r>
        <w:t>II.24.1.1 Motifs de la suspension</w:t>
      </w:r>
    </w:p>
    <w:p w14:paraId="3BBB8CF1" w14:textId="77777777" w:rsidR="00AB78C8" w:rsidRPr="00242651" w:rsidRDefault="00AB78C8" w:rsidP="001C2768">
      <w:pPr>
        <w:spacing w:before="100" w:beforeAutospacing="1" w:after="0" w:line="240" w:lineRule="auto"/>
        <w:jc w:val="both"/>
        <w:rPr>
          <w:szCs w:val="24"/>
        </w:rPr>
      </w:pPr>
      <w:r>
        <w:t>La Commission peut, à tout moment de l’exécution de la convention, suspendre le versement des préfinancements, les paiements intermédiaires ou le paiement du solde:</w:t>
      </w:r>
    </w:p>
    <w:p w14:paraId="3BBB8CF2" w14:textId="25F07B4A" w:rsidR="00D30E81" w:rsidRPr="00A91C98" w:rsidRDefault="00D30E81" w:rsidP="002A6FB7">
      <w:pPr>
        <w:pStyle w:val="ListParagraph"/>
        <w:numPr>
          <w:ilvl w:val="0"/>
          <w:numId w:val="45"/>
        </w:numPr>
        <w:spacing w:after="100" w:afterAutospacing="1" w:line="240" w:lineRule="auto"/>
        <w:jc w:val="both"/>
        <w:rPr>
          <w:szCs w:val="24"/>
        </w:rPr>
      </w:pPr>
      <w:r>
        <w:t xml:space="preserve">si elle détient la preuve que le bénéficiaire a commis des </w:t>
      </w:r>
      <w:r w:rsidRPr="00A91C98">
        <w:rPr>
          <w:i/>
          <w:szCs w:val="24"/>
        </w:rPr>
        <w:t>irrégularités</w:t>
      </w:r>
      <w:r>
        <w:t xml:space="preserve">, une </w:t>
      </w:r>
      <w:r w:rsidRPr="00A91C98">
        <w:rPr>
          <w:i/>
          <w:szCs w:val="24"/>
        </w:rPr>
        <w:t>fraude</w:t>
      </w:r>
      <w:r>
        <w:t xml:space="preserve"> ou une </w:t>
      </w:r>
      <w:r w:rsidRPr="00A91C98">
        <w:rPr>
          <w:i/>
          <w:szCs w:val="24"/>
        </w:rPr>
        <w:t>violation d’obligations</w:t>
      </w:r>
      <w:r>
        <w:t xml:space="preserve"> dans le cadre de la procédure d’attribution ou lors de l’exécution de la convention;</w:t>
      </w:r>
    </w:p>
    <w:p w14:paraId="3BBB8CF3" w14:textId="06240DE7" w:rsidR="00D30E81" w:rsidRPr="004264AF" w:rsidRDefault="00D30E81" w:rsidP="002A6FB7">
      <w:pPr>
        <w:numPr>
          <w:ilvl w:val="0"/>
          <w:numId w:val="45"/>
        </w:numPr>
        <w:spacing w:before="100" w:beforeAutospacing="1" w:after="100" w:afterAutospacing="1" w:line="240" w:lineRule="auto"/>
        <w:ind w:left="851" w:hanging="567"/>
        <w:jc w:val="both"/>
        <w:rPr>
          <w:szCs w:val="24"/>
        </w:rPr>
      </w:pPr>
      <w:r>
        <w:t xml:space="preserve">si elle détient la preuve que le bénéficiaire a commis des </w:t>
      </w:r>
      <w:r>
        <w:rPr>
          <w:i/>
          <w:szCs w:val="24"/>
        </w:rPr>
        <w:t>irrégularités</w:t>
      </w:r>
      <w:r>
        <w:t xml:space="preserve">, une </w:t>
      </w:r>
      <w:r>
        <w:rPr>
          <w:i/>
          <w:szCs w:val="24"/>
        </w:rPr>
        <w:t>fraude</w:t>
      </w:r>
      <w:r>
        <w:t xml:space="preserve"> ou une grave </w:t>
      </w:r>
      <w:r>
        <w:rPr>
          <w:i/>
          <w:szCs w:val="24"/>
        </w:rPr>
        <w:t>violation d’obligations</w:t>
      </w:r>
      <w:r>
        <w:t xml:space="preserve">, systémiques ou récurrentes, au titre d’autres subventions financées par l’Union ou la Communauté européenne de l’énergie atomique («Euratom»), octroyées à des conditions similaires, et que ces </w:t>
      </w:r>
      <w:r>
        <w:rPr>
          <w:i/>
          <w:szCs w:val="24"/>
        </w:rPr>
        <w:t>irrégularités</w:t>
      </w:r>
      <w:r>
        <w:t xml:space="preserve">, </w:t>
      </w:r>
      <w:r>
        <w:rPr>
          <w:i/>
          <w:szCs w:val="24"/>
        </w:rPr>
        <w:t>fraude</w:t>
      </w:r>
      <w:r>
        <w:t xml:space="preserve"> ou </w:t>
      </w:r>
      <w:r>
        <w:rPr>
          <w:i/>
          <w:szCs w:val="24"/>
        </w:rPr>
        <w:t>violation d’obligations</w:t>
      </w:r>
      <w:r>
        <w:t xml:space="preserve"> ont une incidence substantielle sur la subvention; ou</w:t>
      </w:r>
    </w:p>
    <w:p w14:paraId="3BBB8CF4" w14:textId="30361ACE" w:rsidR="00D30E81" w:rsidRPr="004264AF" w:rsidRDefault="00D30E81" w:rsidP="002A6FB7">
      <w:pPr>
        <w:numPr>
          <w:ilvl w:val="0"/>
          <w:numId w:val="45"/>
        </w:numPr>
        <w:spacing w:before="100" w:beforeAutospacing="1" w:after="100" w:afterAutospacing="1" w:line="240" w:lineRule="auto"/>
        <w:ind w:left="851" w:hanging="567"/>
        <w:jc w:val="both"/>
        <w:rPr>
          <w:szCs w:val="24"/>
        </w:rPr>
      </w:pPr>
      <w:r>
        <w:t xml:space="preserve">si elle soupçonne le bénéficiaire d’avoir commis des </w:t>
      </w:r>
      <w:r>
        <w:rPr>
          <w:i/>
          <w:szCs w:val="24"/>
        </w:rPr>
        <w:t>irrégularités</w:t>
      </w:r>
      <w:r>
        <w:t xml:space="preserve">, une </w:t>
      </w:r>
      <w:r>
        <w:rPr>
          <w:i/>
          <w:szCs w:val="24"/>
        </w:rPr>
        <w:t>fraude</w:t>
      </w:r>
      <w:r>
        <w:t xml:space="preserve"> ou une </w:t>
      </w:r>
      <w:r>
        <w:rPr>
          <w:i/>
          <w:szCs w:val="24"/>
        </w:rPr>
        <w:t>violation substantielle(s) d’obligations</w:t>
      </w:r>
      <w:r>
        <w:t xml:space="preserve"> dans le cadre de la procédure d’attribution ou lors de l’exécution de la convention, et a besoin de vérifier si ses soupçons sont fondés.</w:t>
      </w:r>
    </w:p>
    <w:p w14:paraId="3BBB8CF5" w14:textId="77777777" w:rsidR="00D30E81" w:rsidRPr="00D06D68" w:rsidRDefault="00D30E81" w:rsidP="00A91C98">
      <w:pPr>
        <w:pStyle w:val="Heading4"/>
        <w:keepNext/>
        <w:keepLines/>
        <w:widowControl w:val="0"/>
        <w:spacing w:before="100" w:beforeAutospacing="1" w:after="100" w:afterAutospacing="1"/>
      </w:pPr>
      <w:r>
        <w:t>II.24.1.2 Procédure de suspension</w:t>
      </w:r>
    </w:p>
    <w:p w14:paraId="3BBB8CF6" w14:textId="77777777" w:rsidR="00D30E81" w:rsidRPr="004264AF" w:rsidRDefault="00D30E81" w:rsidP="00A91C98">
      <w:pPr>
        <w:keepNext/>
        <w:keepLines/>
        <w:widowControl w:val="0"/>
        <w:spacing w:before="100" w:beforeAutospacing="1" w:after="0" w:line="240" w:lineRule="auto"/>
        <w:jc w:val="both"/>
        <w:rPr>
          <w:szCs w:val="24"/>
        </w:rPr>
      </w:pPr>
      <w:r>
        <w:rPr>
          <w:b/>
          <w:szCs w:val="24"/>
        </w:rPr>
        <w:t>Étape 1</w:t>
      </w:r>
      <w:r>
        <w:t xml:space="preserve">  Avant de suspendre les paiements, la Commission doit adresser une </w:t>
      </w:r>
      <w:r>
        <w:rPr>
          <w:i/>
          <w:szCs w:val="24"/>
        </w:rPr>
        <w:t>notification formelle</w:t>
      </w:r>
      <w:r>
        <w:t xml:space="preserve"> au bénéficiaire:</w:t>
      </w:r>
    </w:p>
    <w:p w14:paraId="3BBB8CF7" w14:textId="388EB596" w:rsidR="00D30E81" w:rsidRPr="00A91C98" w:rsidRDefault="00D30E81" w:rsidP="002A6FB7">
      <w:pPr>
        <w:pStyle w:val="ListParagraph"/>
        <w:numPr>
          <w:ilvl w:val="0"/>
          <w:numId w:val="77"/>
        </w:numPr>
        <w:spacing w:after="0" w:line="240" w:lineRule="auto"/>
        <w:jc w:val="both"/>
        <w:rPr>
          <w:szCs w:val="24"/>
        </w:rPr>
      </w:pPr>
      <w:r>
        <w:t>l’informant:</w:t>
      </w:r>
    </w:p>
    <w:p w14:paraId="3BBB8CF8" w14:textId="694C97B5" w:rsidR="00D30E81" w:rsidRPr="00A91C98" w:rsidRDefault="00D30E81" w:rsidP="002A6FB7">
      <w:pPr>
        <w:pStyle w:val="ListParagraph"/>
        <w:numPr>
          <w:ilvl w:val="0"/>
          <w:numId w:val="46"/>
        </w:numPr>
        <w:spacing w:after="100" w:afterAutospacing="1" w:line="240" w:lineRule="auto"/>
        <w:ind w:firstLine="131"/>
        <w:jc w:val="both"/>
        <w:rPr>
          <w:szCs w:val="24"/>
        </w:rPr>
      </w:pPr>
      <w:r>
        <w:t>de son intention de suspendre les paiements;</w:t>
      </w:r>
    </w:p>
    <w:p w14:paraId="3BBB8CF9" w14:textId="77777777" w:rsidR="00D30E81" w:rsidRPr="004264AF" w:rsidRDefault="00D30E81" w:rsidP="002A6FB7">
      <w:pPr>
        <w:numPr>
          <w:ilvl w:val="0"/>
          <w:numId w:val="46"/>
        </w:numPr>
        <w:spacing w:before="100" w:beforeAutospacing="1" w:after="100" w:afterAutospacing="1" w:line="240" w:lineRule="auto"/>
        <w:ind w:left="1418" w:hanging="567"/>
        <w:jc w:val="both"/>
        <w:rPr>
          <w:szCs w:val="24"/>
        </w:rPr>
      </w:pPr>
      <w:r>
        <w:t xml:space="preserve">des motifs de la suspension;  </w:t>
      </w:r>
    </w:p>
    <w:p w14:paraId="3BBB8CFA" w14:textId="77777777" w:rsidR="00D30E81" w:rsidRPr="004264AF" w:rsidRDefault="00D30E81" w:rsidP="002A6FB7">
      <w:pPr>
        <w:numPr>
          <w:ilvl w:val="0"/>
          <w:numId w:val="46"/>
        </w:numPr>
        <w:spacing w:before="100" w:beforeAutospacing="1" w:after="0" w:line="240" w:lineRule="auto"/>
        <w:ind w:left="1418" w:hanging="567"/>
        <w:jc w:val="both"/>
        <w:rPr>
          <w:szCs w:val="24"/>
        </w:rPr>
      </w:pPr>
      <w:r>
        <w:t>dans les cas visés à l’article II.24.1.1, points a) et b), des conditions à remplir pour la reprise des paiements; et</w:t>
      </w:r>
    </w:p>
    <w:p w14:paraId="3BBB8CFB" w14:textId="37D164A7" w:rsidR="00D30E81" w:rsidRPr="00A91C98" w:rsidRDefault="00D30E81" w:rsidP="002A6FB7">
      <w:pPr>
        <w:pStyle w:val="ListParagraph"/>
        <w:numPr>
          <w:ilvl w:val="0"/>
          <w:numId w:val="77"/>
        </w:numPr>
        <w:spacing w:after="100" w:afterAutospacing="1" w:line="240" w:lineRule="auto"/>
        <w:jc w:val="both"/>
        <w:rPr>
          <w:szCs w:val="24"/>
        </w:rPr>
      </w:pPr>
      <w:r>
        <w:t xml:space="preserve">l’invitant à formuler des observations dans les 30 jours civils suivant la réception de la </w:t>
      </w:r>
      <w:r w:rsidRPr="00A91C98">
        <w:rPr>
          <w:i/>
          <w:szCs w:val="24"/>
        </w:rPr>
        <w:t>notification formelle</w:t>
      </w:r>
      <w:r>
        <w:t>.</w:t>
      </w:r>
    </w:p>
    <w:p w14:paraId="3BBB8CFC" w14:textId="77777777" w:rsidR="00D30E81" w:rsidRPr="004264AF" w:rsidRDefault="00D30E81" w:rsidP="001C2768">
      <w:pPr>
        <w:spacing w:before="100" w:beforeAutospacing="1" w:after="0" w:line="240" w:lineRule="auto"/>
        <w:jc w:val="both"/>
        <w:rPr>
          <w:szCs w:val="24"/>
        </w:rPr>
      </w:pPr>
      <w:r>
        <w:rPr>
          <w:b/>
          <w:szCs w:val="24"/>
        </w:rPr>
        <w:t>Étape 2</w:t>
      </w:r>
      <w:r>
        <w:t xml:space="preserve"> Si la Commission ne reçoit pas d’observations ou décide de maintenir la procédure malgré les observations reçues, elle doit adresser au bénéficiaire une </w:t>
      </w:r>
      <w:r>
        <w:rPr>
          <w:i/>
          <w:szCs w:val="24"/>
        </w:rPr>
        <w:t>notification formelle</w:t>
      </w:r>
      <w:r>
        <w:t xml:space="preserve"> l’informant:</w:t>
      </w:r>
    </w:p>
    <w:p w14:paraId="3BBB8CFD" w14:textId="7F66076B" w:rsidR="00D30E81" w:rsidRPr="00BE399A" w:rsidRDefault="00D30E81" w:rsidP="002A6FB7">
      <w:pPr>
        <w:pStyle w:val="ListParagraph"/>
        <w:numPr>
          <w:ilvl w:val="0"/>
          <w:numId w:val="47"/>
        </w:numPr>
        <w:spacing w:after="100" w:afterAutospacing="1" w:line="240" w:lineRule="auto"/>
        <w:ind w:left="851" w:hanging="567"/>
        <w:jc w:val="both"/>
        <w:rPr>
          <w:szCs w:val="24"/>
        </w:rPr>
      </w:pPr>
      <w:r>
        <w:t>de la suspension des paiements;</w:t>
      </w:r>
    </w:p>
    <w:p w14:paraId="3BBB8CFE" w14:textId="77777777" w:rsidR="00D30E81" w:rsidRPr="004264AF" w:rsidRDefault="00D30E81" w:rsidP="002A6FB7">
      <w:pPr>
        <w:numPr>
          <w:ilvl w:val="0"/>
          <w:numId w:val="47"/>
        </w:numPr>
        <w:spacing w:before="100" w:beforeAutospacing="1" w:after="100" w:afterAutospacing="1" w:line="240" w:lineRule="auto"/>
        <w:ind w:left="851" w:hanging="567"/>
        <w:jc w:val="both"/>
        <w:rPr>
          <w:szCs w:val="24"/>
        </w:rPr>
      </w:pPr>
      <w:r>
        <w:t>des motifs de la suspension;</w:t>
      </w:r>
    </w:p>
    <w:p w14:paraId="3BBB8CFF" w14:textId="77777777" w:rsidR="00D30E81" w:rsidRPr="004264AF" w:rsidRDefault="00D30E81" w:rsidP="002A6FB7">
      <w:pPr>
        <w:numPr>
          <w:ilvl w:val="0"/>
          <w:numId w:val="47"/>
        </w:numPr>
        <w:spacing w:before="100" w:beforeAutospacing="1" w:after="100" w:afterAutospacing="1" w:line="240" w:lineRule="auto"/>
        <w:ind w:left="851" w:hanging="567"/>
        <w:jc w:val="both"/>
        <w:rPr>
          <w:szCs w:val="24"/>
        </w:rPr>
      </w:pPr>
      <w:r>
        <w:t>des conditions définitives dans lesquelles les paiements peuvent reprendre dans les cas visés à l’article II.24.1.1, points a) et b);</w:t>
      </w:r>
    </w:p>
    <w:p w14:paraId="3BBB8D00" w14:textId="77777777" w:rsidR="00D30E81" w:rsidRPr="004264AF" w:rsidRDefault="00D30E81" w:rsidP="002A6FB7">
      <w:pPr>
        <w:numPr>
          <w:ilvl w:val="0"/>
          <w:numId w:val="47"/>
        </w:numPr>
        <w:spacing w:before="100" w:beforeAutospacing="1" w:after="100" w:afterAutospacing="1" w:line="240" w:lineRule="auto"/>
        <w:ind w:left="851" w:hanging="567"/>
        <w:jc w:val="both"/>
        <w:rPr>
          <w:szCs w:val="24"/>
        </w:rPr>
      </w:pPr>
      <w:r>
        <w:t>de la date indicative d’achèvement de la vérification nécessaire dans le cas visé à l’article II.24.1.1, point c).</w:t>
      </w:r>
    </w:p>
    <w:p w14:paraId="3BBB8D01" w14:textId="77777777" w:rsidR="00D30E81" w:rsidRPr="004264AF" w:rsidRDefault="00D30E81" w:rsidP="001C2768">
      <w:pPr>
        <w:spacing w:before="100" w:beforeAutospacing="1" w:after="100" w:afterAutospacing="1" w:line="240" w:lineRule="auto"/>
        <w:jc w:val="both"/>
        <w:rPr>
          <w:szCs w:val="24"/>
        </w:rPr>
      </w:pPr>
      <w:r>
        <w:t xml:space="preserve">La suspension prend effet à la date à laquelle la Commission envoie la </w:t>
      </w:r>
      <w:r>
        <w:rPr>
          <w:i/>
          <w:szCs w:val="24"/>
        </w:rPr>
        <w:t>notification formelle</w:t>
      </w:r>
      <w:r>
        <w:t xml:space="preserve"> de la suspension (étape 2).</w:t>
      </w:r>
    </w:p>
    <w:p w14:paraId="3BBB8D02" w14:textId="77777777" w:rsidR="00D30E81" w:rsidRPr="004264AF" w:rsidRDefault="00D30E81" w:rsidP="00797757">
      <w:pPr>
        <w:spacing w:before="100" w:beforeAutospacing="1" w:after="100" w:afterAutospacing="1" w:line="240" w:lineRule="auto"/>
        <w:jc w:val="both"/>
        <w:rPr>
          <w:szCs w:val="24"/>
        </w:rPr>
      </w:pPr>
      <w:r>
        <w:t xml:space="preserve">Autrement, la Commission doit adresser une </w:t>
      </w:r>
      <w:r>
        <w:rPr>
          <w:i/>
          <w:szCs w:val="24"/>
        </w:rPr>
        <w:t>notification formelle</w:t>
      </w:r>
      <w:r>
        <w:t xml:space="preserve"> au bénéficiaire l’informant qu’elle ne maintient pas la procédure de suspension.</w:t>
      </w:r>
    </w:p>
    <w:p w14:paraId="3BBB8D03" w14:textId="77777777" w:rsidR="00D30E81" w:rsidRPr="00D06D68" w:rsidRDefault="00D30E81" w:rsidP="00797757">
      <w:pPr>
        <w:pStyle w:val="Heading4"/>
        <w:spacing w:before="100" w:beforeAutospacing="1" w:after="100" w:afterAutospacing="1"/>
      </w:pPr>
      <w:r>
        <w:t>II.24.1.3 Effets de la suspension</w:t>
      </w:r>
    </w:p>
    <w:p w14:paraId="3BBB8D05" w14:textId="77777777" w:rsidR="00D30E81" w:rsidRPr="004264AF" w:rsidRDefault="00D30E81" w:rsidP="00797757">
      <w:pPr>
        <w:spacing w:before="100" w:beforeAutospacing="1" w:after="100" w:afterAutospacing="1" w:line="240" w:lineRule="auto"/>
        <w:jc w:val="both"/>
        <w:rPr>
          <w:szCs w:val="24"/>
        </w:rPr>
      </w:pPr>
      <w:r>
        <w:t>Pendant la période de suspension des paiements, le bénéficiaire ne peut présenter aucune des demandes de paiement et pièces justificatives mentionnées aux articles I.4.2, I.4.3 et I.4.4.</w:t>
      </w:r>
    </w:p>
    <w:p w14:paraId="3BBB8D06" w14:textId="77777777" w:rsidR="00D30E81" w:rsidRPr="004264AF" w:rsidRDefault="00D30E81" w:rsidP="00797757">
      <w:pPr>
        <w:spacing w:before="100" w:beforeAutospacing="1" w:after="100" w:afterAutospacing="1" w:line="240" w:lineRule="auto"/>
        <w:jc w:val="both"/>
        <w:rPr>
          <w:szCs w:val="24"/>
        </w:rPr>
      </w:pPr>
      <w:r>
        <w:t>Les demandes de paiement et pièces justificatives correspondantes peuvent être présentées dès que possible après la reprise des paiements ou être incluses dans la première demande de paiement dû après la reprise des paiements conformément au calendrier mentionné à l’article I.4.1.</w:t>
      </w:r>
    </w:p>
    <w:p w14:paraId="34290755" w14:textId="77777777" w:rsidR="005D13CD" w:rsidRDefault="00D30E81" w:rsidP="001C2768">
      <w:r>
        <w:t>La suspension des paiements ne modifie en rien le droit du bénéficiaire de suspendre l’exécution de l’</w:t>
      </w:r>
      <w:r>
        <w:rPr>
          <w:i/>
          <w:szCs w:val="24"/>
        </w:rPr>
        <w:t>action</w:t>
      </w:r>
      <w:r>
        <w:t>, comme le prévoit l’article II.16.1, ou de résilier la convention conformément à l’article II.17.1.</w:t>
      </w:r>
    </w:p>
    <w:p w14:paraId="3BBB8D0C" w14:textId="77777777" w:rsidR="00D30E81" w:rsidRPr="00E348B1" w:rsidRDefault="00D30E81" w:rsidP="001C2768">
      <w:pPr>
        <w:pStyle w:val="Heading4"/>
      </w:pPr>
      <w:r>
        <w:t>II.24.1.4 Reprise des paiements</w:t>
      </w:r>
    </w:p>
    <w:p w14:paraId="3BBB8D0D" w14:textId="77777777" w:rsidR="00D30E81" w:rsidRPr="004264AF" w:rsidRDefault="00D30E81" w:rsidP="00797757">
      <w:pPr>
        <w:spacing w:before="100" w:beforeAutospacing="1" w:after="100" w:afterAutospacing="1" w:line="240" w:lineRule="auto"/>
        <w:jc w:val="both"/>
        <w:rPr>
          <w:szCs w:val="24"/>
        </w:rPr>
      </w:pPr>
      <w:r>
        <w:t>Pour que la Commission reprenne les paiements, le bénéficiaire doit remplir dès que possible les conditions notifiées et informer la Commission de tout progrès réalisé.</w:t>
      </w:r>
    </w:p>
    <w:p w14:paraId="3BBB8D0E" w14:textId="77777777" w:rsidR="00D30E81" w:rsidRPr="004264AF" w:rsidRDefault="00D30E81" w:rsidP="00797757">
      <w:pPr>
        <w:spacing w:before="100" w:beforeAutospacing="1" w:after="100" w:afterAutospacing="1" w:line="240" w:lineRule="auto"/>
        <w:jc w:val="both"/>
        <w:rPr>
          <w:szCs w:val="24"/>
        </w:rPr>
      </w:pPr>
      <w:r>
        <w:t xml:space="preserve">Si les conditions de la reprise des paiements sont remplies, la suspension est levée. La Commission adresse alors une </w:t>
      </w:r>
      <w:r>
        <w:rPr>
          <w:i/>
          <w:szCs w:val="24"/>
        </w:rPr>
        <w:t>notification formelle</w:t>
      </w:r>
      <w:r>
        <w:t xml:space="preserve"> au bénéficiaire pour l’en informer.</w:t>
      </w:r>
    </w:p>
    <w:p w14:paraId="3BBB8D0F" w14:textId="77777777" w:rsidR="00D30E81" w:rsidRPr="00D06D68" w:rsidRDefault="00D30E81" w:rsidP="00797757">
      <w:pPr>
        <w:pStyle w:val="Heading3"/>
        <w:spacing w:before="100" w:beforeAutospacing="1" w:after="100" w:afterAutospacing="1"/>
      </w:pPr>
      <w:bookmarkStart w:id="104" w:name="_Toc441250871"/>
      <w:bookmarkStart w:id="105" w:name="_Toc81831079"/>
      <w:r>
        <w:t>II.24.2 Suspension du délai de paiement</w:t>
      </w:r>
      <w:bookmarkEnd w:id="104"/>
      <w:bookmarkEnd w:id="105"/>
    </w:p>
    <w:p w14:paraId="3BBB8D10" w14:textId="16488558" w:rsidR="00D30E81" w:rsidRPr="004264AF" w:rsidRDefault="00D30E81" w:rsidP="001C2768">
      <w:pPr>
        <w:spacing w:before="100" w:beforeAutospacing="1" w:after="0" w:line="240" w:lineRule="auto"/>
        <w:ind w:left="960" w:hanging="960"/>
        <w:jc w:val="both"/>
        <w:rPr>
          <w:szCs w:val="24"/>
        </w:rPr>
      </w:pPr>
      <w:r>
        <w:rPr>
          <w:b/>
          <w:szCs w:val="24"/>
        </w:rPr>
        <w:t>II.24.2.1</w:t>
      </w:r>
      <w:r>
        <w:t xml:space="preserve"> La Commission peut suspendre à tout moment le délai de paiement fixé aux articles I.4.2, I.4.3 et I.4.5 si une demande de paiement ne peut être approuvée au motif:</w:t>
      </w:r>
    </w:p>
    <w:p w14:paraId="3BBB8D11" w14:textId="52580596" w:rsidR="00D30E81" w:rsidRPr="005F04AF" w:rsidRDefault="00D30E81" w:rsidP="002A6FB7">
      <w:pPr>
        <w:pStyle w:val="ListParagraph"/>
        <w:numPr>
          <w:ilvl w:val="0"/>
          <w:numId w:val="48"/>
        </w:numPr>
        <w:spacing w:after="100" w:afterAutospacing="1" w:line="240" w:lineRule="auto"/>
        <w:ind w:left="1560" w:hanging="567"/>
        <w:jc w:val="both"/>
        <w:rPr>
          <w:szCs w:val="24"/>
        </w:rPr>
      </w:pPr>
      <w:r>
        <w:t>qu’elle n’est pas conforme à la convention;</w:t>
      </w:r>
    </w:p>
    <w:p w14:paraId="3BBB8D12" w14:textId="77777777" w:rsidR="00D30E81" w:rsidRPr="004264AF" w:rsidRDefault="00D30E81" w:rsidP="002A6FB7">
      <w:pPr>
        <w:numPr>
          <w:ilvl w:val="0"/>
          <w:numId w:val="48"/>
        </w:numPr>
        <w:spacing w:before="100" w:beforeAutospacing="1" w:after="100" w:afterAutospacing="1" w:line="240" w:lineRule="auto"/>
        <w:ind w:left="1560" w:hanging="567"/>
        <w:jc w:val="both"/>
        <w:rPr>
          <w:szCs w:val="24"/>
        </w:rPr>
      </w:pPr>
      <w:r>
        <w:t>que les pièces justificatives appropriées n’ont pas été produites; ou</w:t>
      </w:r>
    </w:p>
    <w:p w14:paraId="3BBB8D13" w14:textId="77777777" w:rsidR="00D30E81" w:rsidRPr="004264AF" w:rsidRDefault="00D30E81" w:rsidP="002A6FB7">
      <w:pPr>
        <w:numPr>
          <w:ilvl w:val="0"/>
          <w:numId w:val="48"/>
        </w:numPr>
        <w:spacing w:before="100" w:beforeAutospacing="1" w:after="100" w:afterAutospacing="1" w:line="240" w:lineRule="auto"/>
        <w:ind w:left="1560" w:hanging="567"/>
        <w:jc w:val="both"/>
        <w:rPr>
          <w:szCs w:val="24"/>
        </w:rPr>
      </w:pPr>
      <w:r>
        <w:t>que l’éligibilité des coûts figurant dans les états financiers suscite des doutes et que des contrôles, examens, audits ou enquêtes complémentaires sont nécessaires.</w:t>
      </w:r>
    </w:p>
    <w:p w14:paraId="3BBB8D14" w14:textId="77777777" w:rsidR="00D30E81" w:rsidRPr="004264AF" w:rsidRDefault="00D30E81" w:rsidP="001C2768">
      <w:pPr>
        <w:spacing w:before="100" w:beforeAutospacing="1" w:after="0" w:line="240" w:lineRule="auto"/>
        <w:jc w:val="both"/>
        <w:rPr>
          <w:szCs w:val="24"/>
        </w:rPr>
      </w:pPr>
      <w:r>
        <w:rPr>
          <w:b/>
          <w:szCs w:val="24"/>
        </w:rPr>
        <w:t>II.24.2.2</w:t>
      </w:r>
      <w:r>
        <w:t xml:space="preserve"> La Commission doit adresser une </w:t>
      </w:r>
      <w:r>
        <w:rPr>
          <w:i/>
          <w:szCs w:val="24"/>
        </w:rPr>
        <w:t>notification formelle</w:t>
      </w:r>
      <w:r>
        <w:t xml:space="preserve"> au bénéficiaire pour l’informer:</w:t>
      </w:r>
    </w:p>
    <w:p w14:paraId="073F7B31" w14:textId="77777777" w:rsidR="005F04AF" w:rsidRPr="005F04AF" w:rsidRDefault="00D30E81" w:rsidP="002A6FB7">
      <w:pPr>
        <w:pStyle w:val="ListParagraph"/>
        <w:numPr>
          <w:ilvl w:val="0"/>
          <w:numId w:val="49"/>
        </w:numPr>
        <w:spacing w:after="100" w:afterAutospacing="1" w:line="240" w:lineRule="auto"/>
        <w:ind w:left="1418" w:hanging="447"/>
        <w:jc w:val="both"/>
        <w:rPr>
          <w:szCs w:val="24"/>
        </w:rPr>
      </w:pPr>
      <w:r>
        <w:t>de la suspension; et</w:t>
      </w:r>
    </w:p>
    <w:p w14:paraId="3BBB8D16" w14:textId="217B036F" w:rsidR="00D30E81" w:rsidRPr="005F04AF" w:rsidRDefault="00D30E81" w:rsidP="002A6FB7">
      <w:pPr>
        <w:pStyle w:val="ListParagraph"/>
        <w:numPr>
          <w:ilvl w:val="0"/>
          <w:numId w:val="49"/>
        </w:numPr>
        <w:spacing w:after="100" w:afterAutospacing="1" w:line="240" w:lineRule="auto"/>
        <w:ind w:left="1418" w:hanging="447"/>
        <w:jc w:val="both"/>
        <w:rPr>
          <w:szCs w:val="24"/>
        </w:rPr>
      </w:pPr>
      <w:r>
        <w:t>des motifs de la suspension.</w:t>
      </w:r>
    </w:p>
    <w:p w14:paraId="3BBB8D17" w14:textId="77777777" w:rsidR="00D30E81" w:rsidRPr="004264AF" w:rsidRDefault="00D30E81" w:rsidP="00797757">
      <w:pPr>
        <w:spacing w:before="100" w:beforeAutospacing="1" w:after="100" w:afterAutospacing="1" w:line="240" w:lineRule="auto"/>
        <w:ind w:left="960"/>
        <w:jc w:val="both"/>
        <w:rPr>
          <w:szCs w:val="24"/>
        </w:rPr>
      </w:pPr>
      <w:r>
        <w:t xml:space="preserve">La suspension prend effet à la date à laquelle la Commission envoie la </w:t>
      </w:r>
      <w:r>
        <w:rPr>
          <w:i/>
          <w:szCs w:val="24"/>
        </w:rPr>
        <w:t>notification formelle</w:t>
      </w:r>
      <w:r>
        <w:t>.</w:t>
      </w:r>
    </w:p>
    <w:p w14:paraId="3BBB8D18" w14:textId="77777777" w:rsidR="00D30E81" w:rsidRPr="004264AF" w:rsidRDefault="00D30E81" w:rsidP="00797757">
      <w:pPr>
        <w:spacing w:before="100" w:beforeAutospacing="1" w:after="100" w:afterAutospacing="1" w:line="240" w:lineRule="auto"/>
        <w:ind w:left="960" w:hanging="960"/>
        <w:jc w:val="both"/>
        <w:rPr>
          <w:szCs w:val="24"/>
        </w:rPr>
      </w:pPr>
      <w:r>
        <w:rPr>
          <w:b/>
          <w:szCs w:val="24"/>
        </w:rPr>
        <w:t>II.24.2.3</w:t>
      </w:r>
      <w:r>
        <w:t xml:space="preserve"> Si les conditions de suspension du délai de paiement ne sont plus remplies, la suspension est levée et le délai restant recommence à courir.</w:t>
      </w:r>
    </w:p>
    <w:p w14:paraId="3BBB8D19" w14:textId="77777777" w:rsidR="00D30E81" w:rsidRPr="004264AF" w:rsidRDefault="00D30E81" w:rsidP="001C2768">
      <w:pPr>
        <w:spacing w:before="100" w:beforeAutospacing="1" w:after="100" w:afterAutospacing="1" w:line="240" w:lineRule="auto"/>
        <w:ind w:left="960"/>
        <w:jc w:val="both"/>
        <w:rPr>
          <w:szCs w:val="24"/>
        </w:rPr>
      </w:pPr>
      <w:r>
        <w:t>Si la durée de la suspension est supérieure à deux mois, le bénéficiaire peut demander à la Commission si la suspension va continuer.</w:t>
      </w:r>
    </w:p>
    <w:p w14:paraId="3BBB8D1A" w14:textId="77777777" w:rsidR="00D30E81" w:rsidRPr="004264AF" w:rsidRDefault="00D30E81" w:rsidP="001C2768">
      <w:pPr>
        <w:spacing w:before="100" w:beforeAutospacing="1" w:after="100" w:afterAutospacing="1" w:line="240" w:lineRule="auto"/>
        <w:ind w:left="960"/>
        <w:jc w:val="both"/>
        <w:rPr>
          <w:szCs w:val="24"/>
        </w:rPr>
      </w:pPr>
      <w:r>
        <w:t>Si le délai de paiement a été suspendu parce que les rapports techniques ou les états financiers ne sont pas conformes à la convention et que le rapport ou l’état financier révisé n’a pas été présenté ou, s’il l’a été, est également rejeté, la Commission peut résilier la convention dans les conditions prévues à l’article II.17.2.1, point b), et réduire la subvention conformément à l’article II.25.4.</w:t>
      </w:r>
    </w:p>
    <w:p w14:paraId="2D03BA52" w14:textId="77777777" w:rsidR="00522AC0" w:rsidRDefault="00522AC0" w:rsidP="001C2768">
      <w:bookmarkStart w:id="106" w:name="_Toc441250872"/>
    </w:p>
    <w:p w14:paraId="3BBB8D1B" w14:textId="5421BAAF" w:rsidR="00D30E81" w:rsidRPr="001A04C2" w:rsidRDefault="0093695C" w:rsidP="00797757">
      <w:pPr>
        <w:pStyle w:val="Heading2"/>
        <w:spacing w:before="100" w:beforeAutospacing="1" w:after="100" w:afterAutospacing="1"/>
      </w:pPr>
      <w:bookmarkStart w:id="107" w:name="_Toc81831080"/>
      <w:r>
        <w:t>ARTICLE II.25 – CALCUL DU MONTANT FINAL DE LA SUBVENTION</w:t>
      </w:r>
      <w:bookmarkEnd w:id="106"/>
      <w:bookmarkEnd w:id="107"/>
    </w:p>
    <w:p w14:paraId="3BBB8D1C" w14:textId="77777777" w:rsidR="00D30E81" w:rsidRPr="004264AF" w:rsidRDefault="00D30E81" w:rsidP="00797757">
      <w:pPr>
        <w:spacing w:before="100" w:beforeAutospacing="1" w:after="100" w:afterAutospacing="1" w:line="240" w:lineRule="auto"/>
        <w:jc w:val="both"/>
        <w:rPr>
          <w:szCs w:val="24"/>
        </w:rPr>
      </w:pPr>
      <w:r>
        <w:t>Le montant final de la subvention dépend du degré d’exécution de l’</w:t>
      </w:r>
      <w:r>
        <w:rPr>
          <w:i/>
          <w:szCs w:val="24"/>
        </w:rPr>
        <w:t>action</w:t>
      </w:r>
      <w:r>
        <w:t xml:space="preserve"> en conformité avec les termes de la convention.</w:t>
      </w:r>
    </w:p>
    <w:p w14:paraId="3BBB8D1D" w14:textId="77777777" w:rsidR="00D30E81" w:rsidRPr="004264AF" w:rsidRDefault="00D30E81" w:rsidP="001C2768">
      <w:pPr>
        <w:spacing w:after="100" w:afterAutospacing="1" w:line="240" w:lineRule="auto"/>
        <w:jc w:val="both"/>
        <w:rPr>
          <w:bCs/>
          <w:szCs w:val="24"/>
        </w:rPr>
      </w:pPr>
      <w:r>
        <w:t>Le montant final de la subvention est calculé par la Commission au moment du paiement du solde. Ce calcul comporte les étapes suivantes:</w:t>
      </w:r>
    </w:p>
    <w:p w14:paraId="3BBB8D1E" w14:textId="3EB336FA" w:rsidR="00D30E81" w:rsidRPr="004264AF" w:rsidRDefault="00D30E81" w:rsidP="001C2768">
      <w:pPr>
        <w:spacing w:after="100" w:afterAutospacing="1" w:line="240" w:lineRule="auto"/>
        <w:ind w:left="567"/>
        <w:jc w:val="both"/>
        <w:rPr>
          <w:szCs w:val="24"/>
        </w:rPr>
      </w:pPr>
      <w:r>
        <w:t>Étape 1 — Application du taux de remboursement aux coûts éligibles et ajout du financement non lié aux coûts et des contributions unitaires, forfaitaires et à taux forfaitaire</w:t>
      </w:r>
    </w:p>
    <w:p w14:paraId="3BBB8D1F" w14:textId="78B7E059" w:rsidR="00D30E81" w:rsidRPr="004264AF" w:rsidRDefault="00D30E81" w:rsidP="001C2768">
      <w:pPr>
        <w:spacing w:after="100" w:afterAutospacing="1" w:line="240" w:lineRule="auto"/>
        <w:ind w:left="567"/>
        <w:jc w:val="both"/>
        <w:rPr>
          <w:szCs w:val="24"/>
        </w:rPr>
      </w:pPr>
      <w:r>
        <w:t xml:space="preserve">Étape 2 — Limitation au </w:t>
      </w:r>
      <w:r>
        <w:rPr>
          <w:i/>
          <w:szCs w:val="24"/>
        </w:rPr>
        <w:t>montant maximal de la subvention</w:t>
      </w:r>
      <w:r>
        <w:t>;</w:t>
      </w:r>
    </w:p>
    <w:p w14:paraId="3BBB8D20" w14:textId="77777777" w:rsidR="00D30E81" w:rsidRPr="004264AF" w:rsidRDefault="00D30E81" w:rsidP="001C2768">
      <w:pPr>
        <w:spacing w:after="100" w:afterAutospacing="1" w:line="240" w:lineRule="auto"/>
        <w:ind w:left="567"/>
        <w:jc w:val="both"/>
        <w:rPr>
          <w:szCs w:val="24"/>
        </w:rPr>
      </w:pPr>
      <w:r>
        <w:t>Étape 3 — Réduction du fait de la règle du non-profit</w:t>
      </w:r>
    </w:p>
    <w:p w14:paraId="3BBB8D21" w14:textId="26AF1A0B" w:rsidR="00D30E81" w:rsidRPr="004264AF" w:rsidRDefault="00D30E81" w:rsidP="001C2768">
      <w:pPr>
        <w:spacing w:after="100" w:afterAutospacing="1" w:line="240" w:lineRule="auto"/>
        <w:ind w:left="567"/>
        <w:jc w:val="both"/>
        <w:rPr>
          <w:szCs w:val="24"/>
        </w:rPr>
      </w:pPr>
      <w:r>
        <w:t>Étape 4 — Réduction en raison d’une exécution incorrecte, d’irrégularités, d’une fraude ou d’une violation d’obligations.</w:t>
      </w:r>
    </w:p>
    <w:p w14:paraId="3BBB8D22" w14:textId="4C04238F" w:rsidR="00D30E81" w:rsidRPr="00D06D68" w:rsidRDefault="00D30E81" w:rsidP="001C2768">
      <w:pPr>
        <w:pStyle w:val="Heading3"/>
        <w:spacing w:before="100" w:beforeAutospacing="1" w:after="100" w:afterAutospacing="1"/>
        <w:ind w:left="851" w:hanging="851"/>
      </w:pPr>
      <w:bookmarkStart w:id="108" w:name="_Toc441250873"/>
      <w:bookmarkStart w:id="109" w:name="_Toc81831081"/>
      <w:r>
        <w:t>II.25.1</w:t>
      </w:r>
      <w:r>
        <w:tab/>
        <w:t>Étape 1 — Application du taux de remboursement aux coûts éligibles et ajout du financement non lié aux coûts et des contributions unitaires, forfaitaires et à taux forfaitaire</w:t>
      </w:r>
      <w:bookmarkEnd w:id="108"/>
      <w:bookmarkEnd w:id="109"/>
    </w:p>
    <w:p w14:paraId="3BBB8D23" w14:textId="77777777" w:rsidR="00D30E81" w:rsidRPr="004264AF" w:rsidRDefault="00D30E81" w:rsidP="00797757">
      <w:pPr>
        <w:spacing w:before="100" w:beforeAutospacing="1" w:after="100" w:afterAutospacing="1" w:line="240" w:lineRule="auto"/>
        <w:jc w:val="both"/>
        <w:rPr>
          <w:szCs w:val="24"/>
        </w:rPr>
      </w:pPr>
      <w:r>
        <w:t>Cette étape se déroule comme suit:</w:t>
      </w:r>
    </w:p>
    <w:p w14:paraId="7E77946D" w14:textId="380D1BB4" w:rsidR="00180212" w:rsidRPr="005F04AF" w:rsidRDefault="00180212" w:rsidP="002A6FB7">
      <w:pPr>
        <w:pStyle w:val="ListParagraph"/>
        <w:numPr>
          <w:ilvl w:val="0"/>
          <w:numId w:val="50"/>
        </w:numPr>
        <w:spacing w:before="100" w:beforeAutospacing="1" w:after="240" w:line="240" w:lineRule="auto"/>
        <w:jc w:val="both"/>
        <w:rPr>
          <w:szCs w:val="24"/>
        </w:rPr>
      </w:pPr>
      <w:r>
        <w:t>si, conformément à l’article I.3.2, point a) i), la subvention prend la forme d’un remboursement des coûts éligibles réellement exposés, le taux de remboursement indiqué dans cet article est appliqué à ces coûts éligibles tels qu’approuvés par la Commission pour les catégories de coûts correspondantes, pour le bénéficiaire et ses entités affiliées;</w:t>
      </w:r>
    </w:p>
    <w:p w14:paraId="3BBB8D24" w14:textId="6814137B" w:rsidR="00D30E81" w:rsidRDefault="00D30E81" w:rsidP="002A6FB7">
      <w:pPr>
        <w:numPr>
          <w:ilvl w:val="0"/>
          <w:numId w:val="50"/>
        </w:numPr>
        <w:spacing w:before="100" w:beforeAutospacing="1" w:after="100" w:afterAutospacing="1" w:line="240" w:lineRule="auto"/>
        <w:ind w:left="851" w:hanging="567"/>
        <w:jc w:val="both"/>
        <w:rPr>
          <w:szCs w:val="24"/>
        </w:rPr>
      </w:pPr>
      <w:r>
        <w:t>si, conformément à l’article I.3.2, point a) ii) à v), la subvention prend la forme d’un remboursement des coûts unitaires, des coûts forfaitaires ou des coûts à taux forfaitaire éligibles, le taux de remboursement indiqué dans cet article est appliqué à ces coûts éligibles tels qu’approuvés par la Commission pour les catégories de coûts, le bénéficiaire et ses entités affiliées correspondants.</w:t>
      </w:r>
    </w:p>
    <w:p w14:paraId="5084B113" w14:textId="5426FD05" w:rsidR="00180212" w:rsidRPr="00180212" w:rsidRDefault="00180212" w:rsidP="001C2768">
      <w:pPr>
        <w:spacing w:after="0" w:line="240" w:lineRule="auto"/>
        <w:ind w:left="851"/>
        <w:jc w:val="both"/>
        <w:rPr>
          <w:szCs w:val="24"/>
        </w:rPr>
      </w:pPr>
      <w:r>
        <w:t>Le montant accepté des travaux effectués par des bénévoles pour le bénéficiaire et ses entités affiliées doit être limité au montant suivant, la valeur la plus faible étant retenue:</w:t>
      </w:r>
    </w:p>
    <w:p w14:paraId="0D8A171F" w14:textId="08621BBF" w:rsidR="00180212" w:rsidRPr="00180212" w:rsidRDefault="00180212" w:rsidP="001C2768">
      <w:pPr>
        <w:spacing w:after="0" w:line="240" w:lineRule="auto"/>
        <w:ind w:left="1418" w:hanging="567"/>
        <w:jc w:val="both"/>
        <w:rPr>
          <w:szCs w:val="24"/>
        </w:rPr>
      </w:pPr>
      <w:r>
        <w:t>i)</w:t>
      </w:r>
      <w:r>
        <w:tab/>
        <w:t>le montant total des sources de financement, tel qu’indiqué dans le budget prévisionnel figurant à l’annexe II et tel qu’accepté par la Commission, multiplié par cinquante pour cent; ou</w:t>
      </w:r>
    </w:p>
    <w:p w14:paraId="2A70D3DF" w14:textId="36CF2BFB" w:rsidR="00180212" w:rsidRPr="001C2768" w:rsidRDefault="00180212" w:rsidP="001C2768">
      <w:pPr>
        <w:spacing w:after="0" w:line="240" w:lineRule="auto"/>
        <w:ind w:left="1418" w:hanging="567"/>
        <w:jc w:val="both"/>
        <w:rPr>
          <w:szCs w:val="24"/>
        </w:rPr>
      </w:pPr>
      <w:r>
        <w:t>ii)</w:t>
      </w:r>
      <w:r>
        <w:tab/>
        <w:t>le montant correspondant aux travaux effectués par des bénévoles indiqué dans l’état financier final.</w:t>
      </w:r>
    </w:p>
    <w:p w14:paraId="3BBB8D25" w14:textId="77777777" w:rsidR="00D30E81" w:rsidRPr="004264AF" w:rsidRDefault="00D30E81" w:rsidP="002A6FB7">
      <w:pPr>
        <w:numPr>
          <w:ilvl w:val="0"/>
          <w:numId w:val="50"/>
        </w:numPr>
        <w:spacing w:before="240" w:line="240" w:lineRule="auto"/>
        <w:ind w:left="851" w:hanging="567"/>
        <w:jc w:val="both"/>
        <w:rPr>
          <w:szCs w:val="24"/>
        </w:rPr>
      </w:pPr>
      <w:r>
        <w:t>si, conformément à l’article I.3.2, point b), la subvention prend la forme d’une contribution unitaire, la contribution unitaire indiquée dans cet article est multipliée par le nombre effectif d’unités approuvé par la Commission pour le bénéficiaire et ses entités affiliées;</w:t>
      </w:r>
    </w:p>
    <w:p w14:paraId="3BBB8D26" w14:textId="77777777" w:rsidR="00D30E81" w:rsidRPr="004264AF" w:rsidRDefault="00D30E81" w:rsidP="002A6FB7">
      <w:pPr>
        <w:numPr>
          <w:ilvl w:val="0"/>
          <w:numId w:val="50"/>
        </w:numPr>
        <w:spacing w:before="240" w:line="240" w:lineRule="auto"/>
        <w:ind w:left="851" w:hanging="567"/>
        <w:jc w:val="both"/>
        <w:rPr>
          <w:szCs w:val="24"/>
        </w:rPr>
      </w:pPr>
      <w:r>
        <w:t>si, conformément à l’article I.3.2, point c), la subvention prend la forme d’une contribution forfaitaire, la Commission applique le montant forfaitaire indiqué dans cet article pour le bénéficiaire et ses entités affiliées, si elle estime que les tâches ou la partie de l’</w:t>
      </w:r>
      <w:r>
        <w:rPr>
          <w:i/>
          <w:szCs w:val="24"/>
        </w:rPr>
        <w:t>action</w:t>
      </w:r>
      <w:r>
        <w:t xml:space="preserve"> correspondantes ont été exécutées correctement conformément à l’annexe I;</w:t>
      </w:r>
    </w:p>
    <w:p w14:paraId="4E660355" w14:textId="653C5762" w:rsidR="00180212" w:rsidRDefault="00D30E81" w:rsidP="002A6FB7">
      <w:pPr>
        <w:numPr>
          <w:ilvl w:val="0"/>
          <w:numId w:val="50"/>
        </w:numPr>
        <w:spacing w:before="240" w:line="240" w:lineRule="auto"/>
        <w:ind w:left="851" w:hanging="567"/>
        <w:jc w:val="both"/>
        <w:rPr>
          <w:szCs w:val="24"/>
        </w:rPr>
      </w:pPr>
      <w:r>
        <w:t>si, conformément à l’article I.3.2, point d), la subvention prend la forme d’une contribution à taux forfaitaire, le taux forfaitaire indiqué dans cet article est appliqué aux coûts éligibles ou à la contribution approuvés par la Commission pour le bénéficiaire et ses entités affiliées;</w:t>
      </w:r>
    </w:p>
    <w:p w14:paraId="65DE8B1A" w14:textId="44D6FB7F" w:rsidR="008B200C" w:rsidRPr="00D92B6C" w:rsidRDefault="00180212" w:rsidP="002A6FB7">
      <w:pPr>
        <w:numPr>
          <w:ilvl w:val="0"/>
          <w:numId w:val="50"/>
        </w:numPr>
        <w:spacing w:before="240" w:line="240" w:lineRule="auto"/>
        <w:ind w:left="851" w:hanging="567"/>
        <w:jc w:val="both"/>
        <w:rPr>
          <w:szCs w:val="24"/>
        </w:rPr>
      </w:pPr>
      <w:r>
        <w:t>si, conformément à l’article I.3.2, point e), la subvention prend la forme d’un financement non lié aux coûts, la Commission applique le montant indiqué dans cet article pour le bénéficiaire et ses entités affiliées, si elle estime [que les conditions indiquées à l’annexe I sont remplies][et][que les résultats indiqués à l’annexe I ont été obtenus].</w:t>
      </w:r>
    </w:p>
    <w:p w14:paraId="3BBB8D28" w14:textId="77777777" w:rsidR="00D30E81" w:rsidRPr="008B200C" w:rsidRDefault="00D30E81" w:rsidP="006F794A">
      <w:pPr>
        <w:spacing w:before="100" w:beforeAutospacing="1" w:after="100" w:afterAutospacing="1" w:line="240" w:lineRule="auto"/>
        <w:jc w:val="both"/>
        <w:rPr>
          <w:szCs w:val="24"/>
        </w:rPr>
      </w:pPr>
      <w:r>
        <w:t>Si l’article I.3.2 prévoit une combinaison des différentes formes de subvention, les montants obtenus doivent être additionnés.</w:t>
      </w:r>
    </w:p>
    <w:p w14:paraId="3BBB8D29" w14:textId="77777777" w:rsidR="00D30E81" w:rsidRPr="00D06D68" w:rsidRDefault="00D30E81" w:rsidP="00797757">
      <w:pPr>
        <w:pStyle w:val="Heading3"/>
        <w:spacing w:before="100" w:beforeAutospacing="1" w:after="100" w:afterAutospacing="1"/>
      </w:pPr>
      <w:bookmarkStart w:id="110" w:name="_Toc441250874"/>
      <w:bookmarkStart w:id="111" w:name="_Toc81831082"/>
      <w:r>
        <w:t>II.25.2</w:t>
      </w:r>
      <w:r>
        <w:tab/>
        <w:t xml:space="preserve"> Étape 2 — Limitation au montant maximal de la subvention</w:t>
      </w:r>
      <w:bookmarkEnd w:id="110"/>
      <w:bookmarkEnd w:id="111"/>
    </w:p>
    <w:p w14:paraId="3BBB8D2A" w14:textId="77777777" w:rsidR="00D30E81" w:rsidRPr="004264AF" w:rsidRDefault="00D30E81" w:rsidP="00797757">
      <w:pPr>
        <w:spacing w:before="100" w:beforeAutospacing="1" w:after="100" w:afterAutospacing="1" w:line="240" w:lineRule="auto"/>
        <w:jc w:val="both"/>
        <w:rPr>
          <w:szCs w:val="24"/>
        </w:rPr>
      </w:pPr>
      <w:r>
        <w:t xml:space="preserve">Le montant total versé par la Commission au bénéficiaire ne peut en aucun cas dépasser le </w:t>
      </w:r>
      <w:r>
        <w:rPr>
          <w:i/>
          <w:szCs w:val="24"/>
        </w:rPr>
        <w:t>montant maximal de la subvention</w:t>
      </w:r>
      <w:r>
        <w:t>.</w:t>
      </w:r>
    </w:p>
    <w:p w14:paraId="04198CB2" w14:textId="77777777" w:rsidR="0039285F" w:rsidRDefault="00D30E81" w:rsidP="00797757">
      <w:pPr>
        <w:spacing w:before="100" w:beforeAutospacing="1" w:after="100" w:afterAutospacing="1" w:line="240" w:lineRule="auto"/>
        <w:jc w:val="both"/>
      </w:pPr>
      <w:r>
        <w:t xml:space="preserve">Si le montant obtenu à l’issue de l’étape 1 est supérieur à ce montant maximal, le montant final de la subvention est limité à ce dernier. </w:t>
      </w:r>
    </w:p>
    <w:p w14:paraId="3BBB8D2B" w14:textId="63372E20" w:rsidR="00D30E81" w:rsidRPr="004264AF" w:rsidRDefault="00180212" w:rsidP="00797757">
      <w:pPr>
        <w:spacing w:before="100" w:beforeAutospacing="1" w:after="100" w:afterAutospacing="1" w:line="240" w:lineRule="auto"/>
        <w:jc w:val="both"/>
        <w:rPr>
          <w:szCs w:val="24"/>
        </w:rPr>
      </w:pPr>
      <w:r>
        <w:t>Si les travaux effectués par des bénévoles sont déclarés comme faisant partie des coûts directs éligibles, le montant final de la subvention est limité au montant des coûts éligibles totaux et des contributions approuvé par la Commission, déduction faite du montant des travaux effectués par des bénévoles approuvé par la Commission.</w:t>
      </w:r>
    </w:p>
    <w:p w14:paraId="3BBB8D2C" w14:textId="77777777" w:rsidR="00D30E81" w:rsidRPr="00D06D68" w:rsidRDefault="00D30E81" w:rsidP="00797757">
      <w:pPr>
        <w:pStyle w:val="Heading3"/>
        <w:spacing w:before="100" w:beforeAutospacing="1" w:after="100" w:afterAutospacing="1"/>
      </w:pPr>
      <w:bookmarkStart w:id="112" w:name="_Toc441250875"/>
      <w:bookmarkStart w:id="113" w:name="_Toc81831083"/>
      <w:r>
        <w:t>II.25.3</w:t>
      </w:r>
      <w:r>
        <w:tab/>
        <w:t xml:space="preserve"> Étape 3 — Réduction du fait de la règle du non-profit</w:t>
      </w:r>
      <w:bookmarkEnd w:id="112"/>
      <w:bookmarkEnd w:id="113"/>
    </w:p>
    <w:p w14:paraId="4BF0C760" w14:textId="1AAFF614" w:rsidR="00F53C88" w:rsidRDefault="00D30E81" w:rsidP="00F53C88">
      <w:pPr>
        <w:spacing w:before="100" w:beforeAutospacing="1" w:after="100" w:afterAutospacing="1" w:line="240" w:lineRule="auto"/>
        <w:jc w:val="both"/>
        <w:rPr>
          <w:szCs w:val="24"/>
        </w:rPr>
      </w:pPr>
      <w:r>
        <w:t>Sauf stipulation contraire dans les conditions particulières, la subvention ne peut produire de profit en faveur du bénéficiaire.</w:t>
      </w:r>
    </w:p>
    <w:p w14:paraId="37FC31EB" w14:textId="77777777" w:rsidR="008B200C" w:rsidRPr="008B200C" w:rsidRDefault="008B200C" w:rsidP="008B200C">
      <w:pPr>
        <w:spacing w:before="100" w:beforeAutospacing="1" w:after="100" w:afterAutospacing="1" w:line="240" w:lineRule="auto"/>
        <w:jc w:val="both"/>
        <w:rPr>
          <w:rFonts w:eastAsia="Times New Roman"/>
          <w:szCs w:val="20"/>
        </w:rPr>
      </w:pPr>
      <w:r>
        <w:t>Le profit doit être calculé comme suit:</w:t>
      </w:r>
    </w:p>
    <w:p w14:paraId="0B8B975F" w14:textId="137C7AE3" w:rsidR="00135AE5" w:rsidRPr="00135AE5" w:rsidRDefault="008B200C" w:rsidP="002A6FB7">
      <w:pPr>
        <w:pStyle w:val="ListParagraph"/>
        <w:numPr>
          <w:ilvl w:val="0"/>
          <w:numId w:val="78"/>
        </w:numPr>
        <w:spacing w:before="100" w:beforeAutospacing="1" w:after="240" w:line="240" w:lineRule="auto"/>
        <w:jc w:val="both"/>
        <w:rPr>
          <w:rFonts w:eastAsia="Times New Roman"/>
          <w:szCs w:val="20"/>
        </w:rPr>
      </w:pPr>
      <w:r>
        <w:t>calculer comme suit l’excédent des recettes totales de l’action par rapport aux coûts éligibles totaux de l’action:</w:t>
      </w:r>
    </w:p>
    <w:p w14:paraId="215B0829" w14:textId="77777777" w:rsidR="00135AE5" w:rsidRPr="008B200C" w:rsidRDefault="00135AE5" w:rsidP="00135AE5">
      <w:pPr>
        <w:spacing w:after="240" w:line="240" w:lineRule="auto"/>
        <w:ind w:left="1135" w:hanging="284"/>
        <w:jc w:val="both"/>
        <w:rPr>
          <w:rFonts w:eastAsia="Times New Roman"/>
          <w:szCs w:val="20"/>
        </w:rPr>
      </w:pPr>
      <w:r>
        <w:t>{</w:t>
      </w:r>
      <w:r>
        <w:tab/>
        <w:t xml:space="preserve">recettes de l’action </w:t>
      </w:r>
    </w:p>
    <w:p w14:paraId="3C54C0F8" w14:textId="77777777" w:rsidR="00135AE5" w:rsidRPr="008B200C" w:rsidRDefault="00135AE5" w:rsidP="00135AE5">
      <w:pPr>
        <w:spacing w:after="240" w:line="240" w:lineRule="auto"/>
        <w:ind w:left="1134"/>
        <w:jc w:val="both"/>
        <w:rPr>
          <w:rFonts w:eastAsia="Times New Roman"/>
          <w:szCs w:val="20"/>
        </w:rPr>
      </w:pPr>
      <w:r>
        <w:t xml:space="preserve">moins </w:t>
      </w:r>
    </w:p>
    <w:p w14:paraId="1A7BCD27" w14:textId="77777777" w:rsidR="00135AE5" w:rsidRPr="008B200C" w:rsidRDefault="00135AE5" w:rsidP="00135AE5">
      <w:pPr>
        <w:spacing w:after="0" w:line="240" w:lineRule="auto"/>
        <w:ind w:left="1134"/>
        <w:jc w:val="both"/>
        <w:rPr>
          <w:rFonts w:eastAsia="Times New Roman"/>
          <w:szCs w:val="20"/>
        </w:rPr>
      </w:pPr>
      <w:r>
        <w:t xml:space="preserve">coûts éligibles totaux consolidés et contributions approuvés par la Commission correspondant aux montants déterminés conformément à l’étape 1 </w:t>
      </w:r>
      <w:r>
        <w:br/>
      </w:r>
      <w:r>
        <w:tab/>
        <w:t>}</w:t>
      </w:r>
    </w:p>
    <w:p w14:paraId="1A7A0997" w14:textId="77777777" w:rsidR="00135AE5" w:rsidRPr="008B200C" w:rsidRDefault="00135AE5" w:rsidP="00135AE5">
      <w:pPr>
        <w:spacing w:before="240" w:after="240" w:line="240" w:lineRule="auto"/>
        <w:ind w:left="284"/>
        <w:jc w:val="both"/>
        <w:rPr>
          <w:rFonts w:eastAsia="Times New Roman"/>
          <w:szCs w:val="20"/>
        </w:rPr>
      </w:pPr>
      <w:r>
        <w:t>Les recettes de l’action sont réparties comme suit:</w:t>
      </w:r>
    </w:p>
    <w:p w14:paraId="56CEB714" w14:textId="77777777" w:rsidR="00135AE5" w:rsidRDefault="00135AE5" w:rsidP="00135AE5">
      <w:pPr>
        <w:spacing w:after="240" w:line="240" w:lineRule="auto"/>
        <w:ind w:left="1135" w:hanging="284"/>
        <w:jc w:val="both"/>
        <w:rPr>
          <w:rFonts w:eastAsia="Times New Roman"/>
          <w:szCs w:val="20"/>
        </w:rPr>
      </w:pPr>
      <w:r>
        <w:t>{</w:t>
      </w:r>
      <w:r>
        <w:tab/>
        <w:t>recettes générées par l’</w:t>
      </w:r>
      <w:r>
        <w:rPr>
          <w:i/>
          <w:szCs w:val="20"/>
        </w:rPr>
        <w:t>action</w:t>
      </w:r>
      <w:r>
        <w:t xml:space="preserve"> pour le bénéficiaire et ses entités affiliées autres que des organisations à but non lucratif</w:t>
      </w:r>
    </w:p>
    <w:p w14:paraId="53525035" w14:textId="77777777" w:rsidR="00135AE5" w:rsidRPr="008B200C" w:rsidRDefault="00135AE5" w:rsidP="00135AE5">
      <w:pPr>
        <w:spacing w:after="240" w:line="240" w:lineRule="auto"/>
        <w:ind w:left="1134"/>
        <w:jc w:val="both"/>
        <w:rPr>
          <w:rFonts w:eastAsia="Times New Roman"/>
          <w:szCs w:val="20"/>
        </w:rPr>
      </w:pPr>
      <w:r>
        <w:t xml:space="preserve">plus </w:t>
      </w:r>
    </w:p>
    <w:p w14:paraId="17DBE835" w14:textId="77777777" w:rsidR="00135AE5" w:rsidRPr="004264AF" w:rsidRDefault="00135AE5" w:rsidP="00135AE5">
      <w:pPr>
        <w:spacing w:after="0" w:line="240" w:lineRule="auto"/>
        <w:ind w:left="1134"/>
        <w:jc w:val="both"/>
        <w:rPr>
          <w:szCs w:val="24"/>
        </w:rPr>
      </w:pPr>
      <w:r>
        <w:t>montant obtenu à l’issue des étapes 1 et 2</w:t>
      </w:r>
      <w:r>
        <w:tab/>
        <w:t>}</w:t>
      </w:r>
    </w:p>
    <w:p w14:paraId="6A6802C2" w14:textId="77777777" w:rsidR="00135AE5" w:rsidRPr="004264AF" w:rsidRDefault="00135AE5" w:rsidP="00135AE5">
      <w:pPr>
        <w:spacing w:before="100" w:beforeAutospacing="1" w:after="100" w:afterAutospacing="1" w:line="240" w:lineRule="auto"/>
        <w:ind w:left="851"/>
        <w:jc w:val="both"/>
        <w:rPr>
          <w:szCs w:val="24"/>
        </w:rPr>
      </w:pPr>
      <w:r>
        <w:t>Les recettes générées par l’</w:t>
      </w:r>
      <w:r>
        <w:rPr>
          <w:i/>
          <w:szCs w:val="24"/>
        </w:rPr>
        <w:t>action</w:t>
      </w:r>
      <w:r>
        <w:t xml:space="preserve"> sont les recettes consolidées qui sont constatées, générées ou confirmées pour le bénéficiaire et ses entités affiliées autres que des organisations à but non lucratif à la date d’établissement de la demande de paiement du solde par le bénéficiaire.</w:t>
      </w:r>
    </w:p>
    <w:p w14:paraId="333EAD96" w14:textId="77777777" w:rsidR="00135AE5" w:rsidRPr="004264AF" w:rsidRDefault="00135AE5" w:rsidP="00135AE5">
      <w:pPr>
        <w:spacing w:before="100" w:beforeAutospacing="1" w:after="0" w:line="240" w:lineRule="auto"/>
        <w:jc w:val="both"/>
        <w:rPr>
          <w:bCs/>
          <w:szCs w:val="24"/>
        </w:rPr>
      </w:pPr>
      <w:r>
        <w:t>Les éléments suivants ne sont pas considérés comme des recettes:</w:t>
      </w:r>
    </w:p>
    <w:p w14:paraId="0696168F" w14:textId="77777777" w:rsidR="00135AE5" w:rsidRPr="0066648F" w:rsidRDefault="00135AE5" w:rsidP="002A6FB7">
      <w:pPr>
        <w:pStyle w:val="ListParagraph"/>
        <w:numPr>
          <w:ilvl w:val="1"/>
          <w:numId w:val="72"/>
        </w:numPr>
        <w:spacing w:after="100" w:afterAutospacing="1" w:line="240" w:lineRule="auto"/>
        <w:ind w:left="1418" w:hanging="567"/>
        <w:jc w:val="both"/>
        <w:rPr>
          <w:szCs w:val="24"/>
        </w:rPr>
      </w:pPr>
      <w:r>
        <w:t xml:space="preserve">les contributions en nature et les contributions financières par des tiers, </w:t>
      </w:r>
    </w:p>
    <w:p w14:paraId="46EC0EDE" w14:textId="77777777" w:rsidR="00135AE5" w:rsidRDefault="00135AE5" w:rsidP="002A6FB7">
      <w:pPr>
        <w:numPr>
          <w:ilvl w:val="1"/>
          <w:numId w:val="72"/>
        </w:numPr>
        <w:spacing w:before="100" w:beforeAutospacing="1" w:after="100" w:afterAutospacing="1" w:line="240" w:lineRule="auto"/>
        <w:ind w:left="1418" w:hanging="567"/>
        <w:jc w:val="both"/>
        <w:rPr>
          <w:szCs w:val="24"/>
        </w:rPr>
      </w:pPr>
      <w:r>
        <w:t>dans le cas d’une subvention de fonctionnement, les montants affectés à la constitution de réserves.</w:t>
      </w:r>
    </w:p>
    <w:p w14:paraId="3BBB8D39" w14:textId="3FFDED76" w:rsidR="00D30E81" w:rsidRPr="00135AE5" w:rsidRDefault="002C6F7B" w:rsidP="002A6FB7">
      <w:pPr>
        <w:pStyle w:val="ListParagraph"/>
        <w:numPr>
          <w:ilvl w:val="0"/>
          <w:numId w:val="78"/>
        </w:numPr>
        <w:spacing w:before="100" w:beforeAutospacing="1" w:after="240" w:line="240" w:lineRule="auto"/>
        <w:jc w:val="both"/>
        <w:rPr>
          <w:rFonts w:eastAsia="Times New Roman"/>
          <w:szCs w:val="20"/>
        </w:rPr>
      </w:pPr>
      <w:r>
        <w:t>Si le montant calculé au point a) est positif, celui-ci sera déduit du montant calculé suivant les étapes 1 et 2, proportionnellement au taux final de remboursement des coûts éligibles réels de l’</w:t>
      </w:r>
      <w:r w:rsidRPr="00135AE5">
        <w:rPr>
          <w:i/>
        </w:rPr>
        <w:t>action</w:t>
      </w:r>
      <w:r>
        <w:t xml:space="preserve"> approuvés par la Commission pour les catégories de coûts mentionnées à l’article I.3.2, point a) i). </w:t>
      </w:r>
    </w:p>
    <w:p w14:paraId="3BBB8D3A" w14:textId="3D12D84A" w:rsidR="00D30E81" w:rsidRPr="00D06D68" w:rsidRDefault="00D30E81" w:rsidP="001C2768">
      <w:pPr>
        <w:pStyle w:val="Heading3"/>
        <w:spacing w:before="100" w:beforeAutospacing="1" w:after="100" w:afterAutospacing="1"/>
        <w:ind w:left="851" w:hanging="851"/>
      </w:pPr>
      <w:bookmarkStart w:id="114" w:name="_Toc441250876"/>
      <w:bookmarkStart w:id="115" w:name="_Toc81831084"/>
      <w:r>
        <w:t>II.25.4</w:t>
      </w:r>
      <w:r>
        <w:tab/>
        <w:t>Étape 4 — Réduction en raison d’une exécution incorrecte, d’irrégularités, d’une fraude ou d’une violation d’obligations</w:t>
      </w:r>
      <w:bookmarkEnd w:id="114"/>
      <w:bookmarkEnd w:id="115"/>
    </w:p>
    <w:p w14:paraId="3BBB8D3B" w14:textId="17D9B1F9" w:rsidR="00D30E81" w:rsidRPr="004264AF" w:rsidRDefault="00D30E81" w:rsidP="00797757">
      <w:pPr>
        <w:spacing w:before="100" w:beforeAutospacing="1" w:after="100" w:afterAutospacing="1" w:line="240" w:lineRule="auto"/>
        <w:jc w:val="both"/>
        <w:rPr>
          <w:szCs w:val="24"/>
        </w:rPr>
      </w:pPr>
      <w:r>
        <w:t xml:space="preserve">La Commission peut réduire le </w:t>
      </w:r>
      <w:r>
        <w:rPr>
          <w:i/>
          <w:szCs w:val="24"/>
        </w:rPr>
        <w:t>montant maximal de la subvention</w:t>
      </w:r>
      <w:r>
        <w:t xml:space="preserve"> si l’</w:t>
      </w:r>
      <w:r>
        <w:rPr>
          <w:i/>
          <w:szCs w:val="24"/>
        </w:rPr>
        <w:t>action</w:t>
      </w:r>
      <w:r>
        <w:t xml:space="preserve"> n’a pas été exécutée correctement comme indiqué à l’annexe I (c’est-à-dire en cas de non-exécution ou de mauvaise exécution, ou d’exécution partielle ou tardive), ou en cas d’</w:t>
      </w:r>
      <w:r>
        <w:rPr>
          <w:i/>
          <w:szCs w:val="24"/>
        </w:rPr>
        <w:t>irrégularités</w:t>
      </w:r>
      <w:r>
        <w:t xml:space="preserve">, de </w:t>
      </w:r>
      <w:r>
        <w:rPr>
          <w:i/>
          <w:szCs w:val="24"/>
        </w:rPr>
        <w:t>fraude</w:t>
      </w:r>
      <w:r>
        <w:t xml:space="preserve"> ou de violation d’une obligation prévue par la convention.</w:t>
      </w:r>
    </w:p>
    <w:p w14:paraId="3BBB8D3C" w14:textId="23908968" w:rsidR="00D30E81" w:rsidRPr="004264AF" w:rsidRDefault="00D30E81" w:rsidP="00797757">
      <w:pPr>
        <w:spacing w:before="100" w:beforeAutospacing="1" w:after="100" w:afterAutospacing="1" w:line="240" w:lineRule="auto"/>
        <w:jc w:val="both"/>
        <w:rPr>
          <w:szCs w:val="24"/>
        </w:rPr>
      </w:pPr>
      <w:r>
        <w:t>Le montant de la réduction est proportionnel au degré d’exécution incorrecte de l’</w:t>
      </w:r>
      <w:r>
        <w:rPr>
          <w:i/>
          <w:szCs w:val="24"/>
        </w:rPr>
        <w:t>action</w:t>
      </w:r>
      <w:r>
        <w:t xml:space="preserve"> ou à la gravité des </w:t>
      </w:r>
      <w:r>
        <w:rPr>
          <w:i/>
          <w:szCs w:val="24"/>
        </w:rPr>
        <w:t>irrégularités</w:t>
      </w:r>
      <w:r>
        <w:t xml:space="preserve">, de la </w:t>
      </w:r>
      <w:r>
        <w:rPr>
          <w:i/>
          <w:szCs w:val="24"/>
        </w:rPr>
        <w:t>fraude</w:t>
      </w:r>
      <w:r>
        <w:t xml:space="preserve"> ou de la </w:t>
      </w:r>
      <w:r>
        <w:rPr>
          <w:i/>
          <w:szCs w:val="24"/>
        </w:rPr>
        <w:t>violation d’obligations</w:t>
      </w:r>
      <w:r>
        <w:t>.</w:t>
      </w:r>
    </w:p>
    <w:p w14:paraId="3BBB8D3D" w14:textId="77777777" w:rsidR="00D30E81" w:rsidRDefault="00D30E81" w:rsidP="001C2768">
      <w:pPr>
        <w:spacing w:before="100" w:beforeAutospacing="1" w:after="0" w:line="240" w:lineRule="auto"/>
        <w:jc w:val="both"/>
        <w:rPr>
          <w:szCs w:val="24"/>
        </w:rPr>
      </w:pPr>
      <w:r>
        <w:t xml:space="preserve">Avant de réduire la subvention, la Commission doit adresser une </w:t>
      </w:r>
      <w:r>
        <w:rPr>
          <w:i/>
          <w:szCs w:val="24"/>
        </w:rPr>
        <w:t>notification formelle</w:t>
      </w:r>
      <w:r>
        <w:t xml:space="preserve"> au bénéficiaire:</w:t>
      </w:r>
    </w:p>
    <w:p w14:paraId="33537478" w14:textId="77777777" w:rsidR="00776C09" w:rsidRDefault="00776C09" w:rsidP="001C2768">
      <w:pPr>
        <w:spacing w:after="0" w:line="240" w:lineRule="auto"/>
        <w:jc w:val="both"/>
        <w:rPr>
          <w:szCs w:val="24"/>
        </w:rPr>
      </w:pPr>
    </w:p>
    <w:p w14:paraId="3BBB8D3E" w14:textId="121FDDC8" w:rsidR="00D30E81" w:rsidRPr="002A29CC" w:rsidRDefault="00D30E81" w:rsidP="002A6FB7">
      <w:pPr>
        <w:pStyle w:val="ListParagraph"/>
        <w:numPr>
          <w:ilvl w:val="2"/>
          <w:numId w:val="72"/>
        </w:numPr>
        <w:spacing w:after="0" w:line="240" w:lineRule="auto"/>
        <w:ind w:left="993" w:hanging="709"/>
        <w:jc w:val="both"/>
        <w:rPr>
          <w:szCs w:val="24"/>
        </w:rPr>
      </w:pPr>
      <w:r>
        <w:t>l’informant:</w:t>
      </w:r>
    </w:p>
    <w:p w14:paraId="3BBB8D3F" w14:textId="055198D4" w:rsidR="00D30E81" w:rsidRPr="00412C60" w:rsidRDefault="00D30E81" w:rsidP="002A6FB7">
      <w:pPr>
        <w:pStyle w:val="ListParagraph"/>
        <w:numPr>
          <w:ilvl w:val="0"/>
          <w:numId w:val="51"/>
        </w:numPr>
        <w:spacing w:after="100" w:afterAutospacing="1" w:line="240" w:lineRule="auto"/>
        <w:ind w:firstLine="131"/>
        <w:jc w:val="both"/>
        <w:rPr>
          <w:szCs w:val="24"/>
        </w:rPr>
      </w:pPr>
      <w:r>
        <w:t xml:space="preserve">de son intention de réduire le </w:t>
      </w:r>
      <w:r w:rsidRPr="00412C60">
        <w:rPr>
          <w:i/>
          <w:szCs w:val="24"/>
        </w:rPr>
        <w:t>montant maximal de la subvention</w:t>
      </w:r>
      <w:r>
        <w:t>;</w:t>
      </w:r>
    </w:p>
    <w:p w14:paraId="3BBB8D40" w14:textId="77777777" w:rsidR="00D30E81" w:rsidRPr="004264AF" w:rsidRDefault="00D30E81" w:rsidP="002A6FB7">
      <w:pPr>
        <w:numPr>
          <w:ilvl w:val="0"/>
          <w:numId w:val="51"/>
        </w:numPr>
        <w:spacing w:before="100" w:beforeAutospacing="1" w:after="100" w:afterAutospacing="1" w:line="240" w:lineRule="auto"/>
        <w:ind w:left="1418" w:hanging="567"/>
        <w:jc w:val="both"/>
        <w:rPr>
          <w:szCs w:val="24"/>
        </w:rPr>
      </w:pPr>
      <w:r>
        <w:t>du montant de la réduction prévue de la subvention;</w:t>
      </w:r>
    </w:p>
    <w:p w14:paraId="5B222645" w14:textId="77777777" w:rsidR="002A29CC" w:rsidRDefault="00D30E81" w:rsidP="002A6FB7">
      <w:pPr>
        <w:numPr>
          <w:ilvl w:val="0"/>
          <w:numId w:val="51"/>
        </w:numPr>
        <w:spacing w:before="100" w:beforeAutospacing="1" w:after="0" w:line="240" w:lineRule="auto"/>
        <w:ind w:left="1418" w:hanging="567"/>
        <w:jc w:val="both"/>
        <w:rPr>
          <w:szCs w:val="24"/>
        </w:rPr>
      </w:pPr>
      <w:r>
        <w:t>des motifs de la réduction; et</w:t>
      </w:r>
    </w:p>
    <w:p w14:paraId="3BBB8D42" w14:textId="5DA15C9A" w:rsidR="00D30E81" w:rsidRPr="002A29CC" w:rsidRDefault="00D30E81" w:rsidP="002A6FB7">
      <w:pPr>
        <w:pStyle w:val="ListParagraph"/>
        <w:numPr>
          <w:ilvl w:val="2"/>
          <w:numId w:val="72"/>
        </w:numPr>
        <w:spacing w:before="100" w:beforeAutospacing="1" w:after="0" w:line="240" w:lineRule="auto"/>
        <w:ind w:left="993" w:hanging="709"/>
        <w:jc w:val="both"/>
        <w:rPr>
          <w:szCs w:val="24"/>
        </w:rPr>
      </w:pPr>
      <w:r>
        <w:t xml:space="preserve"> l’invitant à formuler des observations dans les 30 jours civils suivant la réception de la </w:t>
      </w:r>
      <w:r w:rsidRPr="002A29CC">
        <w:rPr>
          <w:i/>
          <w:szCs w:val="24"/>
        </w:rPr>
        <w:t>notification formelle</w:t>
      </w:r>
      <w:r>
        <w:t>.</w:t>
      </w:r>
    </w:p>
    <w:p w14:paraId="3BBB8D43" w14:textId="77777777" w:rsidR="00D30E81" w:rsidRPr="004264AF" w:rsidRDefault="00D30E81" w:rsidP="00797757">
      <w:pPr>
        <w:spacing w:before="100" w:beforeAutospacing="1" w:after="100" w:afterAutospacing="1" w:line="240" w:lineRule="auto"/>
        <w:jc w:val="both"/>
        <w:rPr>
          <w:szCs w:val="24"/>
        </w:rPr>
      </w:pPr>
      <w:r>
        <w:t xml:space="preserve">Si la Commission ne reçoit pas d’observations ou décide de maintenir la réduction malgré les observations reçues, elle adresse au bénéficiaire une </w:t>
      </w:r>
      <w:r>
        <w:rPr>
          <w:i/>
          <w:szCs w:val="24"/>
        </w:rPr>
        <w:t>notification formelle</w:t>
      </w:r>
      <w:r>
        <w:t xml:space="preserve"> l’informant de sa décision.</w:t>
      </w:r>
    </w:p>
    <w:p w14:paraId="3BBB8D44" w14:textId="7E737DA0" w:rsidR="00D30E81" w:rsidRPr="004264AF" w:rsidRDefault="00D30E81" w:rsidP="00797757">
      <w:pPr>
        <w:spacing w:before="100" w:beforeAutospacing="1" w:after="100" w:afterAutospacing="1" w:line="240" w:lineRule="auto"/>
        <w:jc w:val="both"/>
        <w:rPr>
          <w:szCs w:val="24"/>
        </w:rPr>
      </w:pPr>
      <w:r>
        <w:t xml:space="preserve">Si la subvention est réduite, la Commission doit calculer le montant réduit de la subvention en déduisant du </w:t>
      </w:r>
      <w:r>
        <w:rPr>
          <w:i/>
          <w:szCs w:val="24"/>
        </w:rPr>
        <w:t>montant maximal de la subvention</w:t>
      </w:r>
      <w:r>
        <w:t xml:space="preserve"> le montant de la réduction (calculé proportionnellement au degré d’exécution incorrecte de l’</w:t>
      </w:r>
      <w:r>
        <w:rPr>
          <w:i/>
          <w:szCs w:val="24"/>
        </w:rPr>
        <w:t>action</w:t>
      </w:r>
      <w:r>
        <w:t xml:space="preserve"> ou à la gravité des </w:t>
      </w:r>
      <w:r>
        <w:rPr>
          <w:i/>
          <w:szCs w:val="24"/>
        </w:rPr>
        <w:t>irrégularités</w:t>
      </w:r>
      <w:r>
        <w:t xml:space="preserve">, de la </w:t>
      </w:r>
      <w:r>
        <w:rPr>
          <w:i/>
          <w:szCs w:val="24"/>
        </w:rPr>
        <w:t>fraude</w:t>
      </w:r>
      <w:r>
        <w:t xml:space="preserve"> ou de la </w:t>
      </w:r>
      <w:r>
        <w:rPr>
          <w:i/>
          <w:szCs w:val="24"/>
        </w:rPr>
        <w:t>violation d’obligations</w:t>
      </w:r>
      <w:r>
        <w:t>).</w:t>
      </w:r>
    </w:p>
    <w:p w14:paraId="3BBB8D45" w14:textId="77777777" w:rsidR="00D30E81" w:rsidRDefault="00D30E81" w:rsidP="001C2768">
      <w:pPr>
        <w:spacing w:before="100" w:beforeAutospacing="1" w:after="0" w:line="240" w:lineRule="auto"/>
        <w:jc w:val="both"/>
        <w:rPr>
          <w:szCs w:val="24"/>
        </w:rPr>
      </w:pPr>
      <w:r>
        <w:t>Le montant final de la subvention sera le plus faible des deux montants suivants:</w:t>
      </w:r>
    </w:p>
    <w:p w14:paraId="59436F1C" w14:textId="77777777" w:rsidR="000E1BBA" w:rsidRPr="004264AF" w:rsidRDefault="000E1BBA" w:rsidP="001C2768">
      <w:pPr>
        <w:spacing w:after="0" w:line="240" w:lineRule="auto"/>
        <w:jc w:val="both"/>
        <w:rPr>
          <w:szCs w:val="24"/>
        </w:rPr>
      </w:pPr>
    </w:p>
    <w:p w14:paraId="3BBB8D46" w14:textId="1B9E6B91" w:rsidR="00D30E81" w:rsidRPr="00412C60" w:rsidRDefault="00D30E81" w:rsidP="002A6FB7">
      <w:pPr>
        <w:pStyle w:val="ListParagraph"/>
        <w:numPr>
          <w:ilvl w:val="0"/>
          <w:numId w:val="52"/>
        </w:numPr>
        <w:spacing w:after="100" w:afterAutospacing="1" w:line="240" w:lineRule="auto"/>
        <w:ind w:left="851" w:hanging="567"/>
        <w:jc w:val="both"/>
        <w:rPr>
          <w:szCs w:val="24"/>
        </w:rPr>
      </w:pPr>
      <w:r>
        <w:t>le montant obtenu à l’issue des étapes 1 à 3; ou</w:t>
      </w:r>
    </w:p>
    <w:p w14:paraId="3BBB8D47" w14:textId="77777777" w:rsidR="00D30E81" w:rsidRDefault="00D30E81" w:rsidP="002A6FB7">
      <w:pPr>
        <w:numPr>
          <w:ilvl w:val="0"/>
          <w:numId w:val="52"/>
        </w:numPr>
        <w:spacing w:before="100" w:beforeAutospacing="1" w:after="100" w:afterAutospacing="1" w:line="240" w:lineRule="auto"/>
        <w:ind w:left="851" w:hanging="567"/>
        <w:jc w:val="both"/>
        <w:rPr>
          <w:szCs w:val="24"/>
        </w:rPr>
      </w:pPr>
      <w:r>
        <w:t>le montant de la subvention réduit à l’issue de l’étape 4.</w:t>
      </w:r>
    </w:p>
    <w:p w14:paraId="3BBB8D49" w14:textId="77777777" w:rsidR="00D30E81" w:rsidRPr="001A04C2" w:rsidRDefault="0093695C" w:rsidP="00797757">
      <w:pPr>
        <w:pStyle w:val="Heading2"/>
        <w:spacing w:before="100" w:beforeAutospacing="1" w:after="100" w:afterAutospacing="1"/>
      </w:pPr>
      <w:bookmarkStart w:id="116" w:name="_Toc441250877"/>
      <w:bookmarkStart w:id="117" w:name="_Toc81831085"/>
      <w:r>
        <w:t>ARTICLE II.26 – RECOUVREMENT</w:t>
      </w:r>
      <w:bookmarkEnd w:id="116"/>
      <w:bookmarkEnd w:id="117"/>
    </w:p>
    <w:p w14:paraId="3BBB8D4A" w14:textId="77777777" w:rsidR="001B3D09" w:rsidRPr="00430E54" w:rsidRDefault="00D30E81" w:rsidP="00797757">
      <w:pPr>
        <w:pStyle w:val="Heading3"/>
        <w:spacing w:before="100" w:beforeAutospacing="1" w:after="100" w:afterAutospacing="1"/>
      </w:pPr>
      <w:bookmarkStart w:id="118" w:name="_Toc81831086"/>
      <w:bookmarkStart w:id="119" w:name="_Toc441250878"/>
      <w:r>
        <w:t>II.26.1</w:t>
      </w:r>
      <w:r>
        <w:tab/>
        <w:t>Recouvrement</w:t>
      </w:r>
      <w:bookmarkEnd w:id="118"/>
      <w:r>
        <w:t xml:space="preserve"> </w:t>
      </w:r>
    </w:p>
    <w:bookmarkEnd w:id="119"/>
    <w:p w14:paraId="3BBB8D4B" w14:textId="77777777" w:rsidR="00D30E81" w:rsidRPr="004264AF" w:rsidRDefault="00D30E81" w:rsidP="00797757">
      <w:pPr>
        <w:spacing w:before="100" w:beforeAutospacing="1" w:after="100" w:afterAutospacing="1" w:line="240" w:lineRule="auto"/>
        <w:rPr>
          <w:szCs w:val="24"/>
        </w:rPr>
      </w:pPr>
      <w:r>
        <w:t xml:space="preserve">Lorsqu’un montant doit être recouvré en vertu de la convention, le bénéficiaire doit rembourser le montant en question à la Commission.  </w:t>
      </w:r>
    </w:p>
    <w:p w14:paraId="3BBB8D4C" w14:textId="77777777" w:rsidR="00D30E81" w:rsidRPr="00D06D68" w:rsidRDefault="00E82729" w:rsidP="00797757">
      <w:pPr>
        <w:spacing w:before="100" w:beforeAutospacing="1" w:after="100" w:afterAutospacing="1" w:line="240" w:lineRule="auto"/>
        <w:jc w:val="both"/>
        <w:rPr>
          <w:bCs/>
          <w:szCs w:val="24"/>
        </w:rPr>
      </w:pPr>
      <w:r>
        <w:t>Le bénéficiaire est responsable du remboursement de tout montant indûment versé par la Commission à titre de contribution couvrant les coûts exposés par ses entités affiliées.</w:t>
      </w:r>
    </w:p>
    <w:p w14:paraId="3BBB8D4D" w14:textId="77777777" w:rsidR="00D30E81" w:rsidRPr="00D06D68" w:rsidRDefault="00D30E81" w:rsidP="00797757">
      <w:pPr>
        <w:pStyle w:val="Heading3"/>
        <w:spacing w:before="100" w:beforeAutospacing="1" w:after="100" w:afterAutospacing="1"/>
      </w:pPr>
      <w:bookmarkStart w:id="120" w:name="_Toc441250880"/>
      <w:bookmarkStart w:id="121" w:name="_Toc81831087"/>
      <w:r>
        <w:t>II.26.2</w:t>
      </w:r>
      <w:r>
        <w:tab/>
        <w:t>Procédure de recouvrement</w:t>
      </w:r>
      <w:bookmarkEnd w:id="120"/>
      <w:bookmarkEnd w:id="121"/>
    </w:p>
    <w:p w14:paraId="3BBB8D4E" w14:textId="77777777" w:rsidR="00D30E81" w:rsidRPr="004264AF" w:rsidRDefault="00D30E81" w:rsidP="001C2768">
      <w:pPr>
        <w:spacing w:before="100" w:beforeAutospacing="1" w:after="0" w:line="240" w:lineRule="auto"/>
        <w:jc w:val="both"/>
        <w:rPr>
          <w:szCs w:val="24"/>
        </w:rPr>
      </w:pPr>
      <w:r>
        <w:t xml:space="preserve">Préalablement au recouvrement, la Commission doit adresser au bénéficiaire une </w:t>
      </w:r>
      <w:r>
        <w:rPr>
          <w:i/>
          <w:szCs w:val="24"/>
        </w:rPr>
        <w:t>notification formelle</w:t>
      </w:r>
      <w:r>
        <w:t>:</w:t>
      </w:r>
    </w:p>
    <w:p w14:paraId="3BBB8D4F" w14:textId="19BF0ABE" w:rsidR="00D30E81" w:rsidRPr="00626B9E" w:rsidRDefault="00D30E81" w:rsidP="002A6FB7">
      <w:pPr>
        <w:pStyle w:val="ListParagraph"/>
        <w:numPr>
          <w:ilvl w:val="0"/>
          <w:numId w:val="53"/>
        </w:numPr>
        <w:spacing w:after="100" w:afterAutospacing="1" w:line="240" w:lineRule="auto"/>
        <w:ind w:left="851" w:hanging="567"/>
        <w:jc w:val="both"/>
        <w:rPr>
          <w:szCs w:val="24"/>
        </w:rPr>
      </w:pPr>
      <w:r>
        <w:t>l’informant de son intention de recouvrer le montant indûment versé;</w:t>
      </w:r>
    </w:p>
    <w:p w14:paraId="3BBB8D50" w14:textId="77777777" w:rsidR="00D30E81" w:rsidRPr="004264AF" w:rsidRDefault="00D30E81" w:rsidP="002A6FB7">
      <w:pPr>
        <w:numPr>
          <w:ilvl w:val="0"/>
          <w:numId w:val="53"/>
        </w:numPr>
        <w:spacing w:before="100" w:beforeAutospacing="1" w:after="100" w:afterAutospacing="1" w:line="240" w:lineRule="auto"/>
        <w:ind w:left="851" w:hanging="567"/>
        <w:jc w:val="both"/>
        <w:rPr>
          <w:szCs w:val="24"/>
        </w:rPr>
      </w:pPr>
      <w:r>
        <w:t>précisant la somme due et les motifs du recouvrement; et</w:t>
      </w:r>
    </w:p>
    <w:p w14:paraId="3BBB8D51" w14:textId="77777777" w:rsidR="00D30E81" w:rsidRPr="004264AF" w:rsidRDefault="00D30E81" w:rsidP="002A6FB7">
      <w:pPr>
        <w:numPr>
          <w:ilvl w:val="0"/>
          <w:numId w:val="53"/>
        </w:numPr>
        <w:spacing w:before="100" w:beforeAutospacing="1" w:after="100" w:afterAutospacing="1" w:line="240" w:lineRule="auto"/>
        <w:ind w:left="851" w:hanging="567"/>
        <w:jc w:val="both"/>
        <w:rPr>
          <w:szCs w:val="24"/>
        </w:rPr>
      </w:pPr>
      <w:r>
        <w:t>invitant le bénéficiaire à formuler ses observations dans un délai déterminé.</w:t>
      </w:r>
    </w:p>
    <w:p w14:paraId="3BBB8D52" w14:textId="77777777" w:rsidR="00D30E81" w:rsidRPr="004264AF" w:rsidRDefault="00D30E81" w:rsidP="00797757">
      <w:pPr>
        <w:spacing w:before="100" w:beforeAutospacing="1" w:after="100" w:afterAutospacing="1" w:line="240" w:lineRule="auto"/>
        <w:jc w:val="both"/>
        <w:rPr>
          <w:szCs w:val="24"/>
        </w:rPr>
      </w:pPr>
      <w:r>
        <w:t>Si aucune observation n’a été formulée ou si, malgré les observations formulées par le bénéficiaire, la Commission décide de maintenir la procédure de recouvrement, elle peut confirmer cette dernière en adressant au bénéficiaire une</w:t>
      </w:r>
      <w:r>
        <w:rPr>
          <w:i/>
          <w:szCs w:val="24"/>
        </w:rPr>
        <w:t xml:space="preserve"> notification formelle</w:t>
      </w:r>
      <w:r>
        <w:t xml:space="preserve"> qui constitue une note de débit, précisant les conditions et la date de paiement.</w:t>
      </w:r>
    </w:p>
    <w:p w14:paraId="3BBB8D53" w14:textId="77777777" w:rsidR="00D30E81" w:rsidRPr="004264AF" w:rsidRDefault="00D30E81" w:rsidP="00797757">
      <w:pPr>
        <w:spacing w:before="100" w:beforeAutospacing="1" w:after="100" w:afterAutospacing="1" w:line="240" w:lineRule="auto"/>
        <w:jc w:val="both"/>
        <w:rPr>
          <w:szCs w:val="24"/>
        </w:rPr>
      </w:pPr>
      <w:r>
        <w:t>Si le paiement n’a pas été effectué à la date mentionnée dans la note de débit, la Commission procède au recouvrement du montant dû:</w:t>
      </w:r>
    </w:p>
    <w:p w14:paraId="3BBB8D54" w14:textId="3B11A3AC" w:rsidR="00D30E81" w:rsidRPr="00626B9E" w:rsidRDefault="00D30E81" w:rsidP="002A6FB7">
      <w:pPr>
        <w:pStyle w:val="ListParagraph"/>
        <w:numPr>
          <w:ilvl w:val="0"/>
          <w:numId w:val="79"/>
        </w:numPr>
        <w:spacing w:before="100" w:beforeAutospacing="1" w:after="100" w:afterAutospacing="1" w:line="240" w:lineRule="auto"/>
        <w:jc w:val="both"/>
        <w:rPr>
          <w:szCs w:val="24"/>
        </w:rPr>
      </w:pPr>
      <w:r>
        <w:t>par une compensation, sans l’accord préalable du bénéficiaire, avec des sommes dues à celui-ci par la Commission ou une agence exécutive (sur le budget de l’Union ou de la Communauté européenne de l’énergie atomique (Euratom)) («compensation»).</w:t>
      </w:r>
    </w:p>
    <w:p w14:paraId="3BBB8D55" w14:textId="77777777" w:rsidR="00D30E81" w:rsidRPr="004264AF" w:rsidRDefault="00D30E81" w:rsidP="001C2768">
      <w:pPr>
        <w:spacing w:before="100" w:beforeAutospacing="1" w:after="100" w:afterAutospacing="1" w:line="240" w:lineRule="auto"/>
        <w:ind w:left="851"/>
        <w:jc w:val="both"/>
        <w:rPr>
          <w:szCs w:val="24"/>
        </w:rPr>
      </w:pPr>
      <w:r>
        <w:t>Dans des circonstances exceptionnelles, afin de protéger les intérêts financiers de l’Union, la Commission peut procéder à la compensation avant l’échéance.</w:t>
      </w:r>
    </w:p>
    <w:p w14:paraId="3BBB8D56" w14:textId="77777777" w:rsidR="00D30E81" w:rsidRPr="004264AF" w:rsidRDefault="00D30E81" w:rsidP="00626B9E">
      <w:pPr>
        <w:spacing w:before="100" w:beforeAutospacing="1" w:after="100" w:afterAutospacing="1" w:line="240" w:lineRule="auto"/>
        <w:ind w:left="851"/>
        <w:jc w:val="both"/>
        <w:rPr>
          <w:szCs w:val="24"/>
        </w:rPr>
      </w:pPr>
      <w:r>
        <w:t>Un recours peut être formé contre cette compensation devant le Tribunal de l’Union européenne, conformément à l’article 263 du TFUE;</w:t>
      </w:r>
    </w:p>
    <w:p w14:paraId="6D41363D" w14:textId="079D3D9E" w:rsidR="00626B9E" w:rsidRPr="00626B9E" w:rsidRDefault="00D30E81" w:rsidP="002A6FB7">
      <w:pPr>
        <w:pStyle w:val="ListParagraph"/>
        <w:numPr>
          <w:ilvl w:val="0"/>
          <w:numId w:val="79"/>
        </w:numPr>
        <w:spacing w:before="240" w:after="360" w:line="240" w:lineRule="auto"/>
        <w:jc w:val="both"/>
        <w:rPr>
          <w:szCs w:val="24"/>
        </w:rPr>
      </w:pPr>
      <w:r>
        <w:t>en actionnant la garantie financière, s’il en est prévu à l’article I.4.2 («actionnement de la garantie financière»);</w:t>
      </w:r>
    </w:p>
    <w:p w14:paraId="36518F7F" w14:textId="77777777" w:rsidR="00626B9E" w:rsidRPr="00626B9E" w:rsidRDefault="00626B9E" w:rsidP="00626B9E">
      <w:pPr>
        <w:pStyle w:val="ListParagraph"/>
        <w:spacing w:before="1080" w:after="840" w:line="240" w:lineRule="auto"/>
        <w:jc w:val="both"/>
        <w:rPr>
          <w:szCs w:val="24"/>
        </w:rPr>
      </w:pPr>
    </w:p>
    <w:p w14:paraId="3BBB8D58" w14:textId="408FF1EF" w:rsidR="00D30E81" w:rsidRPr="00626B9E" w:rsidRDefault="00D30E81" w:rsidP="002A6FB7">
      <w:pPr>
        <w:pStyle w:val="ListParagraph"/>
        <w:numPr>
          <w:ilvl w:val="0"/>
          <w:numId w:val="79"/>
        </w:numPr>
        <w:spacing w:before="480" w:after="120" w:line="240" w:lineRule="auto"/>
        <w:jc w:val="both"/>
        <w:rPr>
          <w:szCs w:val="24"/>
        </w:rPr>
      </w:pPr>
      <w:r>
        <w:t>en engageant une procédure judiciaire en application de l’article II.18.2 ou conformément aux conditions particulières, ou en adoptant une décision exécutoire conformément à l’article II.18.3.</w:t>
      </w:r>
    </w:p>
    <w:p w14:paraId="3BBB8D59" w14:textId="77777777" w:rsidR="00D30E81" w:rsidRPr="00D06D68" w:rsidRDefault="00D30E81" w:rsidP="00797757">
      <w:pPr>
        <w:pStyle w:val="Heading3"/>
        <w:spacing w:before="100" w:beforeAutospacing="1" w:after="100" w:afterAutospacing="1"/>
      </w:pPr>
      <w:bookmarkStart w:id="122" w:name="_Toc441250881"/>
      <w:bookmarkStart w:id="123" w:name="_Toc81831088"/>
      <w:r>
        <w:t>II.26.3</w:t>
      </w:r>
      <w:r>
        <w:tab/>
        <w:t>Intérêts de retard</w:t>
      </w:r>
      <w:bookmarkEnd w:id="122"/>
      <w:bookmarkEnd w:id="123"/>
    </w:p>
    <w:p w14:paraId="3BBB8D5A" w14:textId="158D495E" w:rsidR="00D30E81" w:rsidRPr="004264AF" w:rsidRDefault="00D30E81" w:rsidP="00797757">
      <w:pPr>
        <w:spacing w:before="100" w:beforeAutospacing="1" w:after="100" w:afterAutospacing="1" w:line="240" w:lineRule="auto"/>
        <w:jc w:val="both"/>
        <w:rPr>
          <w:szCs w:val="24"/>
        </w:rPr>
      </w:pPr>
      <w:r>
        <w:t>Si le paiement n’est pas effectué à la date mentionnée dans la note de débit, le montant à recouvrer est majoré d’intérêts de retard au taux fixé à l’article I.4.13, à compter du lendemain de la date limite de paiement indiquée dans la note de débit jusqu’à, au plus tard, la date de réception par la Commission du paiement intégral du montant.</w:t>
      </w:r>
    </w:p>
    <w:p w14:paraId="3BBB8D5B" w14:textId="77777777" w:rsidR="00D30E81" w:rsidRPr="004264AF" w:rsidRDefault="00D30E81" w:rsidP="00797757">
      <w:pPr>
        <w:spacing w:before="100" w:beforeAutospacing="1" w:after="100" w:afterAutospacing="1" w:line="240" w:lineRule="auto"/>
        <w:jc w:val="both"/>
        <w:rPr>
          <w:szCs w:val="24"/>
        </w:rPr>
      </w:pPr>
      <w:r>
        <w:t>Les paiements partiels doivent d’abord être déduits des frais et intérêts de retard, et ensuite du principal.</w:t>
      </w:r>
    </w:p>
    <w:p w14:paraId="3BBB8D5C" w14:textId="77777777" w:rsidR="00D30E81" w:rsidRPr="00D06D68" w:rsidRDefault="00D30E81" w:rsidP="00797757">
      <w:pPr>
        <w:pStyle w:val="Heading3"/>
        <w:spacing w:before="100" w:beforeAutospacing="1" w:after="100" w:afterAutospacing="1"/>
      </w:pPr>
      <w:bookmarkStart w:id="124" w:name="_Toc441250882"/>
      <w:bookmarkStart w:id="125" w:name="_Toc81831089"/>
      <w:r>
        <w:t>II.26.4</w:t>
      </w:r>
      <w:r>
        <w:tab/>
        <w:t>Frais bancaires</w:t>
      </w:r>
      <w:bookmarkEnd w:id="124"/>
      <w:bookmarkEnd w:id="125"/>
    </w:p>
    <w:p w14:paraId="3BBB8D5D" w14:textId="77777777" w:rsidR="00D30E81" w:rsidRPr="004264AF" w:rsidRDefault="00D30E81" w:rsidP="00797757">
      <w:pPr>
        <w:spacing w:before="100" w:beforeAutospacing="1" w:after="100" w:afterAutospacing="1" w:line="240" w:lineRule="auto"/>
        <w:jc w:val="both"/>
        <w:rPr>
          <w:szCs w:val="24"/>
        </w:rPr>
      </w:pPr>
      <w:r>
        <w:t>Les frais bancaires exposés lors du processus de recouvrement doivent être à la charge du bénéficiaire, sauf si la directive 2007/64/CE</w:t>
      </w:r>
      <w:r>
        <w:rPr>
          <w:rStyle w:val="FootnoteReference"/>
          <w:bCs/>
          <w:szCs w:val="24"/>
        </w:rPr>
        <w:footnoteReference w:id="4"/>
      </w:r>
      <w:r>
        <w:t xml:space="preserve"> s’applique.</w:t>
      </w:r>
    </w:p>
    <w:p w14:paraId="3BBB8D5E" w14:textId="7A9D6641" w:rsidR="00D30E81" w:rsidRPr="001A04C2" w:rsidRDefault="0093695C" w:rsidP="00797757">
      <w:pPr>
        <w:pStyle w:val="Heading2"/>
        <w:spacing w:before="100" w:beforeAutospacing="1" w:after="100" w:afterAutospacing="1"/>
      </w:pPr>
      <w:bookmarkStart w:id="126" w:name="_Toc441250883"/>
      <w:bookmarkStart w:id="127" w:name="_Toc81831090"/>
      <w:r>
        <w:t>ARTICLE II.27 – CONTRÔLES, AUDITS ET ÉVALUATION</w:t>
      </w:r>
      <w:bookmarkEnd w:id="126"/>
      <w:bookmarkEnd w:id="127"/>
    </w:p>
    <w:p w14:paraId="3BBB8D5F" w14:textId="77777777" w:rsidR="00D30E81" w:rsidRPr="00D06D68" w:rsidRDefault="00D30E81" w:rsidP="00797757">
      <w:pPr>
        <w:pStyle w:val="Heading3"/>
        <w:spacing w:before="100" w:beforeAutospacing="1" w:after="100" w:afterAutospacing="1"/>
      </w:pPr>
      <w:bookmarkStart w:id="128" w:name="_Toc441250884"/>
      <w:bookmarkStart w:id="129" w:name="_Toc81831091"/>
      <w:r>
        <w:t>II.27.1</w:t>
      </w:r>
      <w:r>
        <w:tab/>
        <w:t>Contrôles et audits techniques et financiers, évaluations intermédiaire et finale</w:t>
      </w:r>
      <w:bookmarkEnd w:id="128"/>
      <w:bookmarkEnd w:id="129"/>
    </w:p>
    <w:p w14:paraId="3BBB8D60" w14:textId="77777777" w:rsidR="00D30E81" w:rsidRPr="004264AF" w:rsidRDefault="00D30E81" w:rsidP="00797757">
      <w:pPr>
        <w:spacing w:before="100" w:beforeAutospacing="1" w:after="100" w:afterAutospacing="1" w:line="240" w:lineRule="auto"/>
        <w:jc w:val="both"/>
        <w:rPr>
          <w:szCs w:val="24"/>
        </w:rPr>
      </w:pPr>
      <w:r>
        <w:t>La Commission peut réaliser, au cours de l’exécution de l’</w:t>
      </w:r>
      <w:r>
        <w:rPr>
          <w:i/>
          <w:szCs w:val="24"/>
        </w:rPr>
        <w:t>action</w:t>
      </w:r>
      <w:r>
        <w:t xml:space="preserve"> ou ultérieurement, des contrôles et audits techniques et financiers, afin de s’assurer que le bénéficiaire exécute l’</w:t>
      </w:r>
      <w:r>
        <w:rPr>
          <w:i/>
          <w:szCs w:val="24"/>
        </w:rPr>
        <w:t>action</w:t>
      </w:r>
      <w:r>
        <w:t xml:space="preserve"> correctement et respecte les obligations prévues par la convention. Elle peut également vérifier les registres comptables obligatoires du bénéficiaire afin d’évaluer régulièrement les montants forfaitaires, les coûts unitaires et les montants à taux forfaitaire.</w:t>
      </w:r>
    </w:p>
    <w:p w14:paraId="3BBB8D61" w14:textId="77777777" w:rsidR="00D30E81" w:rsidRPr="004264AF" w:rsidRDefault="00D30E81" w:rsidP="00797757">
      <w:pPr>
        <w:spacing w:before="100" w:beforeAutospacing="1" w:after="100" w:afterAutospacing="1" w:line="240" w:lineRule="auto"/>
        <w:jc w:val="both"/>
        <w:rPr>
          <w:szCs w:val="24"/>
        </w:rPr>
      </w:pPr>
      <w:r>
        <w:t>Les informations et documents communiqués dans le cadre des contrôles et audits doivent être traités confidentiellement.</w:t>
      </w:r>
    </w:p>
    <w:p w14:paraId="3BBB8D62" w14:textId="77777777" w:rsidR="00D30E81" w:rsidRPr="004264AF" w:rsidRDefault="00D30E81" w:rsidP="00797757">
      <w:pPr>
        <w:spacing w:before="100" w:beforeAutospacing="1" w:after="100" w:afterAutospacing="1" w:line="240" w:lineRule="auto"/>
        <w:jc w:val="both"/>
        <w:rPr>
          <w:szCs w:val="24"/>
        </w:rPr>
      </w:pPr>
      <w:r>
        <w:t>En outre, la Commission peut réaliser une évaluation intermédiaire ou finale de l’incidence de l’</w:t>
      </w:r>
      <w:r>
        <w:rPr>
          <w:i/>
          <w:szCs w:val="24"/>
        </w:rPr>
        <w:t>action</w:t>
      </w:r>
      <w:r>
        <w:t xml:space="preserve"> par rapport à l’objectif du programme de l’Union concerné.</w:t>
      </w:r>
    </w:p>
    <w:p w14:paraId="3BBB8D63" w14:textId="77777777" w:rsidR="00D30E81" w:rsidRPr="004264AF" w:rsidRDefault="00D30E81" w:rsidP="00797757">
      <w:pPr>
        <w:spacing w:before="100" w:beforeAutospacing="1" w:after="100" w:afterAutospacing="1" w:line="240" w:lineRule="auto"/>
        <w:jc w:val="both"/>
        <w:rPr>
          <w:szCs w:val="24"/>
        </w:rPr>
      </w:pPr>
      <w:r>
        <w:t>Les contrôles, audits et évaluations de la Commission peuvent être réalisés soit directement par son propre personnel soit par tout autre organisme extérieur autorisé à agir pour son compte.</w:t>
      </w:r>
    </w:p>
    <w:p w14:paraId="3BBB8D64" w14:textId="77777777" w:rsidR="00D30E81" w:rsidRPr="004264AF" w:rsidRDefault="00D30E81" w:rsidP="00797757">
      <w:pPr>
        <w:spacing w:before="100" w:beforeAutospacing="1" w:after="100" w:afterAutospacing="1" w:line="240" w:lineRule="auto"/>
        <w:jc w:val="both"/>
        <w:rPr>
          <w:szCs w:val="24"/>
        </w:rPr>
      </w:pPr>
      <w:r>
        <w:t xml:space="preserve">La Commission peut entreprendre de tels contrôles, audits et évaluations au cours de l’exécution de la convention et pendant une période de cinq ans à compter de la date de paiement du solde. Cette période est limitée à trois ans si le </w:t>
      </w:r>
      <w:r>
        <w:rPr>
          <w:bCs/>
          <w:i/>
          <w:szCs w:val="24"/>
        </w:rPr>
        <w:t>montant maximal de la subvention</w:t>
      </w:r>
      <w:r>
        <w:t xml:space="preserve"> n’est pas supérieur à 60 000 EUR.</w:t>
      </w:r>
    </w:p>
    <w:p w14:paraId="3BBB8D65" w14:textId="77777777" w:rsidR="00D30E81" w:rsidRPr="004264AF" w:rsidRDefault="00D30E81" w:rsidP="00797757">
      <w:pPr>
        <w:spacing w:before="100" w:beforeAutospacing="1" w:after="100" w:afterAutospacing="1" w:line="240" w:lineRule="auto"/>
        <w:jc w:val="both"/>
        <w:rPr>
          <w:szCs w:val="24"/>
        </w:rPr>
      </w:pPr>
      <w:r>
        <w:t xml:space="preserve">La procédure de contrôle, d’audit ou d’évaluation est considérée comme commençant à la date de réception de la lettre de la Commission qui l’annonce. </w:t>
      </w:r>
    </w:p>
    <w:p w14:paraId="3BBB8D66" w14:textId="77777777" w:rsidR="00D30E81" w:rsidRDefault="00D30E81" w:rsidP="00797757">
      <w:pPr>
        <w:spacing w:before="100" w:beforeAutospacing="1" w:after="100" w:afterAutospacing="1" w:line="240" w:lineRule="auto"/>
        <w:jc w:val="both"/>
        <w:rPr>
          <w:szCs w:val="24"/>
        </w:rPr>
      </w:pPr>
      <w:r>
        <w:t>Si l’audit porte sur une entité affiliée, celle-ci doit en être informée par le bénéficiaire.</w:t>
      </w:r>
    </w:p>
    <w:p w14:paraId="3BBB8D68" w14:textId="77777777" w:rsidR="00D30E81" w:rsidRPr="00D06D68" w:rsidRDefault="00D30E81" w:rsidP="00797757">
      <w:pPr>
        <w:pStyle w:val="Heading3"/>
        <w:spacing w:before="100" w:beforeAutospacing="1" w:after="100" w:afterAutospacing="1"/>
      </w:pPr>
      <w:bookmarkStart w:id="130" w:name="_Toc441250885"/>
      <w:bookmarkStart w:id="131" w:name="_Toc81831092"/>
      <w:r>
        <w:t>II.27.2 Obligation de conserver des documents</w:t>
      </w:r>
      <w:bookmarkEnd w:id="130"/>
      <w:bookmarkEnd w:id="131"/>
    </w:p>
    <w:p w14:paraId="3BBB8D69" w14:textId="77777777" w:rsidR="00D30E81" w:rsidRPr="004264AF" w:rsidRDefault="00D30E81" w:rsidP="00797757">
      <w:pPr>
        <w:spacing w:before="100" w:beforeAutospacing="1" w:after="100" w:afterAutospacing="1" w:line="240" w:lineRule="auto"/>
        <w:jc w:val="both"/>
        <w:rPr>
          <w:szCs w:val="24"/>
        </w:rPr>
      </w:pPr>
      <w:r>
        <w:t xml:space="preserve">Le bénéficiaire doit conserver tous les documents originaux, notamment ceux de nature comptable ou fiscale, sur tout support approprié, y compris les originaux en format numérique lorsque ceux-ci sont autorisés par la législation nationale et dans les conditions prévues par cette dernière, pendant une période de cinq ans à compter de la date de paiement du solde. </w:t>
      </w:r>
    </w:p>
    <w:p w14:paraId="3BBB8D6A" w14:textId="77777777" w:rsidR="00D30E81" w:rsidRPr="004264AF" w:rsidRDefault="00D30E81" w:rsidP="00797757">
      <w:pPr>
        <w:spacing w:before="100" w:beforeAutospacing="1" w:after="100" w:afterAutospacing="1" w:line="240" w:lineRule="auto"/>
        <w:jc w:val="both"/>
        <w:rPr>
          <w:szCs w:val="24"/>
        </w:rPr>
      </w:pPr>
      <w:r>
        <w:t xml:space="preserve">Cette période de conservation des documents est limitée à trois ans si le </w:t>
      </w:r>
      <w:r>
        <w:rPr>
          <w:bCs/>
          <w:i/>
          <w:szCs w:val="24"/>
        </w:rPr>
        <w:t>montant maximal de la subvention</w:t>
      </w:r>
      <w:r>
        <w:t xml:space="preserve"> n’est pas supérieur à 60 000 EUR.</w:t>
      </w:r>
    </w:p>
    <w:p w14:paraId="3BBB8D6B" w14:textId="77777777" w:rsidR="00D30E81" w:rsidRPr="004264AF" w:rsidRDefault="00D30E81" w:rsidP="00797757">
      <w:pPr>
        <w:spacing w:before="100" w:beforeAutospacing="1" w:after="100" w:afterAutospacing="1" w:line="240" w:lineRule="auto"/>
        <w:jc w:val="both"/>
        <w:rPr>
          <w:szCs w:val="24"/>
        </w:rPr>
      </w:pPr>
      <w:r>
        <w:t>Les périodes mentionnées aux premier et deuxième alinéas sont allongées si des audits, des recours, des litiges ou des réclamations concernant la subvention sont en cours, y compris dans les cas mentionnés à l’article II.27.7. Dans de tels cas, le bénéficiaire doit conserver les documents jusqu’à ce que ces audits, recours, litiges ou réclamations soient clos.</w:t>
      </w:r>
    </w:p>
    <w:p w14:paraId="3BBB8D6C" w14:textId="77777777" w:rsidR="00D30E81" w:rsidRPr="00D06D68" w:rsidRDefault="00D30E81" w:rsidP="00797757">
      <w:pPr>
        <w:pStyle w:val="Heading3"/>
        <w:spacing w:before="100" w:beforeAutospacing="1" w:after="100" w:afterAutospacing="1"/>
      </w:pPr>
      <w:bookmarkStart w:id="132" w:name="_Toc441250886"/>
      <w:bookmarkStart w:id="133" w:name="_Toc81831093"/>
      <w:r>
        <w:t>II.27.3 Obligation de fournir des informations</w:t>
      </w:r>
      <w:bookmarkEnd w:id="132"/>
      <w:bookmarkEnd w:id="133"/>
    </w:p>
    <w:p w14:paraId="3BBB8D6D" w14:textId="77777777" w:rsidR="00D30E81" w:rsidRPr="004264AF" w:rsidRDefault="002A60D1" w:rsidP="00797757">
      <w:pPr>
        <w:spacing w:before="100" w:beforeAutospacing="1" w:after="100" w:afterAutospacing="1" w:line="240" w:lineRule="auto"/>
        <w:jc w:val="both"/>
        <w:rPr>
          <w:szCs w:val="24"/>
        </w:rPr>
      </w:pPr>
      <w:r>
        <w:t xml:space="preserve">Le bénéficiaire doit fournir toute information, y compris sous forme électronique, demandée par la Commission ou par un autre organisme externe mandaté par celle-ci. </w:t>
      </w:r>
    </w:p>
    <w:p w14:paraId="3BBB8D6E" w14:textId="77777777" w:rsidR="00D30E81" w:rsidRPr="004264AF" w:rsidRDefault="00D30E81" w:rsidP="001C2768">
      <w:pPr>
        <w:spacing w:before="100" w:beforeAutospacing="1" w:after="0" w:line="240" w:lineRule="auto"/>
        <w:jc w:val="both"/>
        <w:rPr>
          <w:szCs w:val="24"/>
        </w:rPr>
      </w:pPr>
      <w:r>
        <w:t>Si le bénéficiaire ne respecte pas l’obligation mentionnée au premier alinéa, la Commission peut considérer:</w:t>
      </w:r>
    </w:p>
    <w:p w14:paraId="3BBB8D6F" w14:textId="0888C81D" w:rsidR="00D30E81" w:rsidRPr="001F1B2C" w:rsidRDefault="00D30E81" w:rsidP="002A6FB7">
      <w:pPr>
        <w:pStyle w:val="ListParagraph"/>
        <w:numPr>
          <w:ilvl w:val="0"/>
          <w:numId w:val="38"/>
        </w:numPr>
        <w:spacing w:after="100" w:afterAutospacing="1" w:line="240" w:lineRule="auto"/>
        <w:ind w:left="851" w:hanging="567"/>
        <w:jc w:val="both"/>
        <w:rPr>
          <w:szCs w:val="24"/>
        </w:rPr>
      </w:pPr>
      <w:r>
        <w:t>comme inéligible tout coût insuffisamment justifié par les informations fournies par le bénéficiaire;</w:t>
      </w:r>
    </w:p>
    <w:p w14:paraId="3BBB8D70" w14:textId="7B7630AE" w:rsidR="00D30E81" w:rsidRPr="004264AF" w:rsidRDefault="00D30E81" w:rsidP="002A6FB7">
      <w:pPr>
        <w:numPr>
          <w:ilvl w:val="0"/>
          <w:numId w:val="38"/>
        </w:numPr>
        <w:spacing w:before="100" w:beforeAutospacing="1" w:after="100" w:afterAutospacing="1" w:line="240" w:lineRule="auto"/>
        <w:ind w:left="851" w:hanging="567"/>
        <w:jc w:val="both"/>
        <w:rPr>
          <w:szCs w:val="24"/>
        </w:rPr>
      </w:pPr>
      <w:r>
        <w:t>comme non dû tout financement non lié aux coûts ou toute contribution unitaire, forfaitaire ou à taux forfaitaire qui est insuffisamment justifié par les informations fournies par le bénéficiaire.</w:t>
      </w:r>
    </w:p>
    <w:p w14:paraId="3BBB8D71" w14:textId="206FBF11" w:rsidR="00D30E81" w:rsidRPr="00D06D68" w:rsidRDefault="00D30E81" w:rsidP="0047638B">
      <w:pPr>
        <w:pStyle w:val="Heading3"/>
        <w:keepNext/>
        <w:keepLines/>
        <w:widowControl w:val="0"/>
        <w:spacing w:before="100" w:beforeAutospacing="1" w:after="100" w:afterAutospacing="1"/>
      </w:pPr>
      <w:bookmarkStart w:id="134" w:name="_Toc441250887"/>
      <w:bookmarkStart w:id="135" w:name="_Toc81831094"/>
      <w:r>
        <w:t>II.27.4 Visites sur place</w:t>
      </w:r>
      <w:bookmarkEnd w:id="134"/>
      <w:bookmarkEnd w:id="135"/>
    </w:p>
    <w:p w14:paraId="3BBB8D72" w14:textId="77777777" w:rsidR="00D30E81" w:rsidRPr="004264AF" w:rsidRDefault="00D30E81" w:rsidP="0047638B">
      <w:pPr>
        <w:keepNext/>
        <w:keepLines/>
        <w:widowControl w:val="0"/>
        <w:spacing w:before="100" w:beforeAutospacing="1" w:after="100" w:afterAutospacing="1" w:line="240" w:lineRule="auto"/>
        <w:jc w:val="both"/>
        <w:rPr>
          <w:szCs w:val="24"/>
        </w:rPr>
      </w:pPr>
      <w:r>
        <w:t>Pendant une visite sur place, le bénéficiaire doit autoriser le personnel de la Commission et le personnel externe mandaté par celle-ci à avoir accès aux sites et locaux où l’</w:t>
      </w:r>
      <w:r>
        <w:rPr>
          <w:i/>
          <w:szCs w:val="24"/>
        </w:rPr>
        <w:t>action</w:t>
      </w:r>
      <w:r>
        <w:t xml:space="preserve"> est ou a été réalisée, et à toutes les informations nécessaires, y compris celles sous forme électronique.</w:t>
      </w:r>
    </w:p>
    <w:p w14:paraId="3BBB8D73" w14:textId="77777777" w:rsidR="00D30E81" w:rsidRPr="004264AF" w:rsidRDefault="00D30E81" w:rsidP="0047638B">
      <w:pPr>
        <w:keepNext/>
        <w:keepLines/>
        <w:widowControl w:val="0"/>
        <w:spacing w:before="100" w:beforeAutospacing="1" w:after="100" w:afterAutospacing="1" w:line="240" w:lineRule="auto"/>
        <w:jc w:val="both"/>
        <w:rPr>
          <w:szCs w:val="24"/>
        </w:rPr>
      </w:pPr>
      <w:r>
        <w:t>Il doit veiller à la disponibilité immédiate des informations au moment de la visite sur place et à la transmission sous une forme appropriée des informations demandées.</w:t>
      </w:r>
    </w:p>
    <w:p w14:paraId="3BBB8D74" w14:textId="77777777" w:rsidR="00D30E81" w:rsidRPr="004264AF" w:rsidRDefault="00D30E81" w:rsidP="0047638B">
      <w:pPr>
        <w:keepNext/>
        <w:keepLines/>
        <w:widowControl w:val="0"/>
        <w:spacing w:before="100" w:beforeAutospacing="1" w:after="0" w:line="240" w:lineRule="auto"/>
        <w:jc w:val="both"/>
        <w:rPr>
          <w:szCs w:val="24"/>
        </w:rPr>
      </w:pPr>
      <w:r>
        <w:t>Si le bénéficiaire refuse l’accès aux sites, locaux et informations prescrits aux premier et deuxième alinéas, la Commission peut considérer:</w:t>
      </w:r>
    </w:p>
    <w:p w14:paraId="3BBB8D75" w14:textId="295D1D85" w:rsidR="00D30E81" w:rsidRPr="001F1B2C" w:rsidRDefault="00D30E81" w:rsidP="002A6FB7">
      <w:pPr>
        <w:pStyle w:val="ListParagraph"/>
        <w:numPr>
          <w:ilvl w:val="1"/>
          <w:numId w:val="31"/>
        </w:numPr>
        <w:spacing w:after="100" w:afterAutospacing="1" w:line="240" w:lineRule="auto"/>
        <w:ind w:left="851" w:hanging="567"/>
        <w:jc w:val="both"/>
        <w:rPr>
          <w:szCs w:val="24"/>
        </w:rPr>
      </w:pPr>
      <w:r>
        <w:t xml:space="preserve"> comme inéligible tout coût insuffisamment justifié par les informations fournies par le bénéficiaire;</w:t>
      </w:r>
    </w:p>
    <w:p w14:paraId="3BBB8D76" w14:textId="580A58CF" w:rsidR="00D30E81" w:rsidRDefault="00D30E81" w:rsidP="002A6FB7">
      <w:pPr>
        <w:numPr>
          <w:ilvl w:val="1"/>
          <w:numId w:val="31"/>
        </w:numPr>
        <w:spacing w:before="100" w:beforeAutospacing="1" w:after="100" w:afterAutospacing="1" w:line="240" w:lineRule="auto"/>
        <w:ind w:left="851" w:hanging="567"/>
        <w:jc w:val="both"/>
        <w:rPr>
          <w:szCs w:val="24"/>
        </w:rPr>
      </w:pPr>
      <w:r>
        <w:t xml:space="preserve"> comme non dû tout financement non lié aux coûts ou toute contribution unitaire, forfaitaire ou à taux forfaitaire qui est insuffisamment justifié par les informations fournies par le bénéficiaire.</w:t>
      </w:r>
    </w:p>
    <w:p w14:paraId="3BBB8D77" w14:textId="7A01AEDD" w:rsidR="00D30E81" w:rsidRPr="00D06D68" w:rsidRDefault="00D30E81" w:rsidP="00797757">
      <w:pPr>
        <w:pStyle w:val="Heading3"/>
        <w:spacing w:before="100" w:beforeAutospacing="1" w:after="100" w:afterAutospacing="1"/>
      </w:pPr>
      <w:bookmarkStart w:id="136" w:name="_Toc441250888"/>
      <w:bookmarkStart w:id="137" w:name="_Toc81831095"/>
      <w:r>
        <w:t>II.27.5 Procédure d’audit contradictoire</w:t>
      </w:r>
      <w:bookmarkEnd w:id="136"/>
      <w:bookmarkEnd w:id="137"/>
    </w:p>
    <w:p w14:paraId="3BBB8D78" w14:textId="77777777" w:rsidR="00D30E81" w:rsidRPr="004264AF" w:rsidRDefault="00D30E81" w:rsidP="00797757">
      <w:pPr>
        <w:spacing w:before="100" w:beforeAutospacing="1" w:after="100" w:afterAutospacing="1" w:line="240" w:lineRule="auto"/>
        <w:jc w:val="both"/>
        <w:rPr>
          <w:szCs w:val="24"/>
        </w:rPr>
      </w:pPr>
      <w:r>
        <w:t>Sur la base des constatations faites lors de l’audit, un rapport provisoire («projet de rapport d’audit») doit être établi. Il doit être transmis par la Commission ou son représentant mandaté au bénéficiaire, qui doit disposer de 30 jours civils à compter de la date de réception pour faire part de ses observations. Le rapport final («rapport d’audit final») doit être transmis au bénéficiaire dans les 60 jours civils qui suivent l’expiration de ce délai.</w:t>
      </w:r>
    </w:p>
    <w:p w14:paraId="3BBB8D79" w14:textId="77777777" w:rsidR="00D30E81" w:rsidRPr="00D06D68" w:rsidRDefault="00D30E81" w:rsidP="00797757">
      <w:pPr>
        <w:pStyle w:val="Heading3"/>
        <w:spacing w:before="100" w:beforeAutospacing="1" w:after="100" w:afterAutospacing="1"/>
      </w:pPr>
      <w:bookmarkStart w:id="138" w:name="_Toc441250889"/>
      <w:bookmarkStart w:id="139" w:name="_Toc81831096"/>
      <w:r>
        <w:t>II.27.6 Effets des constatations issues de l’audit</w:t>
      </w:r>
      <w:bookmarkEnd w:id="138"/>
      <w:bookmarkEnd w:id="139"/>
    </w:p>
    <w:p w14:paraId="3BBB8D7A" w14:textId="77777777" w:rsidR="00D30E81" w:rsidRPr="004264AF" w:rsidRDefault="00D30E81" w:rsidP="00797757">
      <w:pPr>
        <w:spacing w:before="100" w:beforeAutospacing="1" w:after="100" w:afterAutospacing="1" w:line="240" w:lineRule="auto"/>
        <w:jc w:val="both"/>
        <w:rPr>
          <w:szCs w:val="24"/>
        </w:rPr>
      </w:pPr>
      <w:r>
        <w:t>Sur la base des constatations finales de l’audit, la Commission peut prendre les mesures qu’elle estime nécessaires, y compris le recouvrement de la totalité ou d’une partie des paiements qu’elle a effectués, conformément à l’article II.26.</w:t>
      </w:r>
    </w:p>
    <w:p w14:paraId="3BBB8D7B" w14:textId="77777777" w:rsidR="00D30E81" w:rsidRPr="004264AF" w:rsidRDefault="00D30E81" w:rsidP="00797757">
      <w:pPr>
        <w:spacing w:before="100" w:beforeAutospacing="1" w:after="100" w:afterAutospacing="1" w:line="240" w:lineRule="auto"/>
        <w:jc w:val="both"/>
        <w:rPr>
          <w:szCs w:val="24"/>
        </w:rPr>
      </w:pPr>
      <w:r>
        <w:t>Lorsque les constatations finales de l’audit sont postérieures au paiement du solde, la somme à recouvrer correspond à la différence entre le montant final révisé de la subvention, déterminé conformément à l’article II.25, et le montant total versé au bénéficiaire au titre de la convention pour l’exécution de l’</w:t>
      </w:r>
      <w:r>
        <w:rPr>
          <w:i/>
          <w:szCs w:val="24"/>
        </w:rPr>
        <w:t>action</w:t>
      </w:r>
      <w:r>
        <w:t>.</w:t>
      </w:r>
    </w:p>
    <w:p w14:paraId="3BBB8D7C" w14:textId="68445F8E" w:rsidR="00D30E81" w:rsidRPr="00D06D68" w:rsidRDefault="00D30E81" w:rsidP="00797757">
      <w:pPr>
        <w:pStyle w:val="Heading3"/>
        <w:spacing w:before="100" w:beforeAutospacing="1" w:after="100" w:afterAutospacing="1"/>
      </w:pPr>
      <w:bookmarkStart w:id="140" w:name="_Toc441250890"/>
      <w:bookmarkStart w:id="141" w:name="_Toc81831097"/>
      <w:r>
        <w:t>II.27.7 Correction en cas d’irrégularités, de fraude ou de violation d’obligations systémiques ou récurrentes</w:t>
      </w:r>
      <w:bookmarkEnd w:id="140"/>
      <w:bookmarkEnd w:id="141"/>
      <w:r>
        <w:t xml:space="preserve"> </w:t>
      </w:r>
    </w:p>
    <w:p w14:paraId="3BBB8D7D" w14:textId="2D9E3D43" w:rsidR="00D30E81" w:rsidRPr="004264AF" w:rsidRDefault="00D30E81" w:rsidP="001C2768">
      <w:pPr>
        <w:spacing w:before="100" w:beforeAutospacing="1" w:after="0" w:line="240" w:lineRule="auto"/>
        <w:jc w:val="both"/>
        <w:rPr>
          <w:szCs w:val="24"/>
        </w:rPr>
      </w:pPr>
      <w:r>
        <w:rPr>
          <w:b/>
          <w:szCs w:val="24"/>
        </w:rPr>
        <w:t>II.27.7.1</w:t>
      </w:r>
      <w:r>
        <w:t xml:space="preserve"> La Commission peut étendre à la présente subvention les constatations issues de l’audit d’autres subventions:</w:t>
      </w:r>
    </w:p>
    <w:p w14:paraId="3BBB8D7E" w14:textId="592302E1" w:rsidR="00D30E81" w:rsidRPr="0031494B" w:rsidRDefault="00D30E81" w:rsidP="002A6FB7">
      <w:pPr>
        <w:pStyle w:val="ListParagraph"/>
        <w:numPr>
          <w:ilvl w:val="0"/>
          <w:numId w:val="54"/>
        </w:numPr>
        <w:spacing w:after="100" w:afterAutospacing="1" w:line="240" w:lineRule="auto"/>
        <w:ind w:firstLine="273"/>
        <w:jc w:val="both"/>
        <w:rPr>
          <w:szCs w:val="24"/>
        </w:rPr>
      </w:pPr>
      <w:r>
        <w:t xml:space="preserve">s’il est établi que le bénéficiaire a commis des </w:t>
      </w:r>
      <w:r w:rsidRPr="0031494B">
        <w:rPr>
          <w:i/>
          <w:szCs w:val="24"/>
        </w:rPr>
        <w:t>irrégularités</w:t>
      </w:r>
      <w:r>
        <w:t xml:space="preserve">, une </w:t>
      </w:r>
      <w:r w:rsidRPr="0031494B">
        <w:rPr>
          <w:i/>
          <w:szCs w:val="24"/>
        </w:rPr>
        <w:t>fraude</w:t>
      </w:r>
      <w:r>
        <w:t xml:space="preserve"> ou une </w:t>
      </w:r>
      <w:r w:rsidRPr="0031494B">
        <w:rPr>
          <w:i/>
          <w:szCs w:val="24"/>
        </w:rPr>
        <w:t>violation d’obligations</w:t>
      </w:r>
      <w:r>
        <w:t xml:space="preserve">, systémiques ou récurrentes, au titre d’autres subventions octroyées par l’Union ou Euratom à des conditions similaires, et que ces </w:t>
      </w:r>
      <w:r w:rsidRPr="0031494B">
        <w:rPr>
          <w:i/>
          <w:szCs w:val="24"/>
        </w:rPr>
        <w:t>irrégularités</w:t>
      </w:r>
      <w:r>
        <w:t xml:space="preserve">, </w:t>
      </w:r>
      <w:r w:rsidRPr="0031494B">
        <w:rPr>
          <w:i/>
          <w:szCs w:val="24"/>
        </w:rPr>
        <w:t>fraude</w:t>
      </w:r>
      <w:r>
        <w:t xml:space="preserve"> ou </w:t>
      </w:r>
      <w:r w:rsidRPr="0031494B">
        <w:rPr>
          <w:i/>
          <w:szCs w:val="24"/>
        </w:rPr>
        <w:t>violation d’obligations</w:t>
      </w:r>
      <w:r>
        <w:t xml:space="preserve"> ont une incidence substantielle sur la subvention; et</w:t>
      </w:r>
    </w:p>
    <w:p w14:paraId="3BBB8D7F" w14:textId="77777777" w:rsidR="00D30E81" w:rsidRPr="004264AF" w:rsidRDefault="00D30E81" w:rsidP="002A6FB7">
      <w:pPr>
        <w:numPr>
          <w:ilvl w:val="0"/>
          <w:numId w:val="54"/>
        </w:numPr>
        <w:spacing w:before="100" w:beforeAutospacing="1" w:after="100" w:afterAutospacing="1" w:line="240" w:lineRule="auto"/>
        <w:ind w:left="1560" w:hanging="567"/>
        <w:jc w:val="both"/>
        <w:rPr>
          <w:szCs w:val="24"/>
        </w:rPr>
      </w:pPr>
      <w:r>
        <w:t xml:space="preserve">si les constations finales de l’audit sont transmises au bénéficiaire par voie de </w:t>
      </w:r>
      <w:r>
        <w:rPr>
          <w:i/>
          <w:szCs w:val="24"/>
        </w:rPr>
        <w:t>notification formelle</w:t>
      </w:r>
      <w:r>
        <w:t>, accompagnées de la liste des subventions concernées par ces constatations au cours de la période visée à l’article II.27.1.</w:t>
      </w:r>
    </w:p>
    <w:p w14:paraId="3BBB8D80" w14:textId="77777777" w:rsidR="00D30E81" w:rsidRPr="004264AF" w:rsidRDefault="00D30E81" w:rsidP="001C2768">
      <w:pPr>
        <w:spacing w:before="100" w:beforeAutospacing="1" w:after="0" w:line="240" w:lineRule="auto"/>
        <w:ind w:left="993"/>
        <w:jc w:val="both"/>
        <w:rPr>
          <w:szCs w:val="24"/>
        </w:rPr>
      </w:pPr>
      <w:r>
        <w:t>Cette extension des constatations peut entraîner:</w:t>
      </w:r>
    </w:p>
    <w:p w14:paraId="3BBB8D81" w14:textId="26D0A1AA" w:rsidR="00D30E81" w:rsidRPr="0031494B" w:rsidRDefault="00D30E81" w:rsidP="002A6FB7">
      <w:pPr>
        <w:pStyle w:val="ListParagraph"/>
        <w:numPr>
          <w:ilvl w:val="0"/>
          <w:numId w:val="55"/>
        </w:numPr>
        <w:spacing w:after="100" w:afterAutospacing="1" w:line="240" w:lineRule="auto"/>
        <w:ind w:firstLine="273"/>
        <w:jc w:val="both"/>
        <w:rPr>
          <w:szCs w:val="24"/>
        </w:rPr>
      </w:pPr>
      <w:r>
        <w:t>le rejet des coûts pour inéligibilité;</w:t>
      </w:r>
    </w:p>
    <w:p w14:paraId="3BBB8D82" w14:textId="77777777" w:rsidR="00D30E81" w:rsidRPr="004264AF" w:rsidRDefault="00D30E81" w:rsidP="002A6FB7">
      <w:pPr>
        <w:numPr>
          <w:ilvl w:val="0"/>
          <w:numId w:val="55"/>
        </w:numPr>
        <w:spacing w:before="100" w:beforeAutospacing="1" w:after="100" w:afterAutospacing="1" w:line="240" w:lineRule="auto"/>
        <w:ind w:left="1560" w:hanging="567"/>
        <w:jc w:val="both"/>
        <w:rPr>
          <w:szCs w:val="24"/>
        </w:rPr>
      </w:pPr>
      <w:r>
        <w:t>la réduction de la subvention conformément à l’article II.25.4;</w:t>
      </w:r>
    </w:p>
    <w:p w14:paraId="3BBB8D83" w14:textId="77777777" w:rsidR="00D30E81" w:rsidRPr="004264AF" w:rsidRDefault="00D30E81" w:rsidP="002A6FB7">
      <w:pPr>
        <w:numPr>
          <w:ilvl w:val="0"/>
          <w:numId w:val="55"/>
        </w:numPr>
        <w:spacing w:before="100" w:beforeAutospacing="1" w:after="100" w:afterAutospacing="1" w:line="240" w:lineRule="auto"/>
        <w:ind w:left="1560" w:hanging="567"/>
        <w:jc w:val="both"/>
        <w:rPr>
          <w:szCs w:val="24"/>
        </w:rPr>
      </w:pPr>
      <w:r>
        <w:t>le recouvrement de montants indus conformément à l’article II.26;</w:t>
      </w:r>
    </w:p>
    <w:p w14:paraId="3BBB8D84" w14:textId="77777777" w:rsidR="00D30E81" w:rsidRPr="004264AF" w:rsidRDefault="00D30E81" w:rsidP="002A6FB7">
      <w:pPr>
        <w:numPr>
          <w:ilvl w:val="0"/>
          <w:numId w:val="55"/>
        </w:numPr>
        <w:spacing w:before="100" w:beforeAutospacing="1" w:after="100" w:afterAutospacing="1" w:line="240" w:lineRule="auto"/>
        <w:ind w:left="1560" w:hanging="567"/>
        <w:jc w:val="both"/>
        <w:rPr>
          <w:szCs w:val="24"/>
        </w:rPr>
      </w:pPr>
      <w:r>
        <w:t>la suspension des paiements conformément à l’article II.24.1;</w:t>
      </w:r>
    </w:p>
    <w:p w14:paraId="3BBB8D85" w14:textId="77777777" w:rsidR="00D30E81" w:rsidRPr="004264AF" w:rsidRDefault="00D30E81" w:rsidP="002A6FB7">
      <w:pPr>
        <w:numPr>
          <w:ilvl w:val="0"/>
          <w:numId w:val="55"/>
        </w:numPr>
        <w:spacing w:before="100" w:beforeAutospacing="1" w:after="100" w:afterAutospacing="1" w:line="240" w:lineRule="auto"/>
        <w:ind w:left="1560" w:hanging="567"/>
        <w:jc w:val="both"/>
        <w:rPr>
          <w:szCs w:val="24"/>
        </w:rPr>
      </w:pPr>
      <w:r>
        <w:t>la suspension de l’exécution de l’</w:t>
      </w:r>
      <w:r>
        <w:rPr>
          <w:i/>
          <w:szCs w:val="24"/>
        </w:rPr>
        <w:t>action</w:t>
      </w:r>
      <w:r>
        <w:t xml:space="preserve"> conformément à l’article II.16.2;</w:t>
      </w:r>
    </w:p>
    <w:p w14:paraId="3BBB8D87" w14:textId="5B2AD513" w:rsidR="001B3D09" w:rsidRPr="00F52591" w:rsidRDefault="00D30E81" w:rsidP="002A6FB7">
      <w:pPr>
        <w:numPr>
          <w:ilvl w:val="0"/>
          <w:numId w:val="55"/>
        </w:numPr>
        <w:spacing w:before="100" w:beforeAutospacing="1" w:after="100" w:afterAutospacing="1" w:line="240" w:lineRule="auto"/>
        <w:ind w:left="1560" w:hanging="567"/>
        <w:jc w:val="both"/>
        <w:rPr>
          <w:szCs w:val="24"/>
        </w:rPr>
      </w:pPr>
      <w:r>
        <w:t>la résiliation conformément à l’article II.17.2.</w:t>
      </w:r>
    </w:p>
    <w:p w14:paraId="3BBB8D88" w14:textId="63C0AAF8" w:rsidR="00D30E81" w:rsidRPr="004264AF" w:rsidRDefault="00D30E81" w:rsidP="001C2768">
      <w:pPr>
        <w:spacing w:before="100" w:beforeAutospacing="1" w:after="100" w:afterAutospacing="1" w:line="240" w:lineRule="auto"/>
        <w:ind w:left="993" w:hanging="993"/>
        <w:jc w:val="both"/>
        <w:rPr>
          <w:szCs w:val="24"/>
        </w:rPr>
      </w:pPr>
      <w:r>
        <w:rPr>
          <w:b/>
          <w:szCs w:val="24"/>
        </w:rPr>
        <w:t>II.27.7.2</w:t>
      </w:r>
      <w:r>
        <w:t xml:space="preserve"> La Commission doit adresser au bénéficiaire une </w:t>
      </w:r>
      <w:r>
        <w:rPr>
          <w:i/>
          <w:szCs w:val="24"/>
        </w:rPr>
        <w:t>notification formelle</w:t>
      </w:r>
      <w:r>
        <w:t xml:space="preserve"> l’informant des irrégularités, de la </w:t>
      </w:r>
      <w:r>
        <w:rPr>
          <w:i/>
          <w:szCs w:val="24"/>
        </w:rPr>
        <w:t>fraude</w:t>
      </w:r>
      <w:r>
        <w:t xml:space="preserve"> ou de la </w:t>
      </w:r>
      <w:r>
        <w:rPr>
          <w:i/>
          <w:szCs w:val="24"/>
        </w:rPr>
        <w:t>violation d’obligations</w:t>
      </w:r>
      <w:r>
        <w:t>, systémiques ou récurrentes, et de son intention d’étendre les constatations issues de l’audit, ainsi que de la liste des subventions concernées.</w:t>
      </w:r>
    </w:p>
    <w:p w14:paraId="46FEFF76" w14:textId="27AA2DC6" w:rsidR="002A6FB7" w:rsidRPr="002A6FB7" w:rsidRDefault="00D30E81" w:rsidP="002A6FB7">
      <w:pPr>
        <w:pStyle w:val="ListParagraph"/>
        <w:numPr>
          <w:ilvl w:val="0"/>
          <w:numId w:val="80"/>
        </w:numPr>
        <w:spacing w:before="100" w:beforeAutospacing="1" w:after="100" w:afterAutospacing="1" w:line="240" w:lineRule="auto"/>
        <w:jc w:val="both"/>
        <w:rPr>
          <w:szCs w:val="24"/>
        </w:rPr>
      </w:pPr>
      <w:r>
        <w:t>Si les constatations portent sur l’éligibilité des coûts, la procédure est la suivante:</w:t>
      </w:r>
    </w:p>
    <w:p w14:paraId="5B9FDF4E" w14:textId="77777777" w:rsidR="002A6FB7" w:rsidRPr="004264AF" w:rsidRDefault="002A6FB7" w:rsidP="002A6FB7">
      <w:pPr>
        <w:spacing w:before="100" w:beforeAutospacing="1" w:after="0" w:line="240" w:lineRule="auto"/>
        <w:ind w:left="1560"/>
        <w:jc w:val="both"/>
        <w:rPr>
          <w:szCs w:val="24"/>
        </w:rPr>
      </w:pPr>
      <w:r>
        <w:rPr>
          <w:b/>
          <w:szCs w:val="24"/>
        </w:rPr>
        <w:t>Étape 1</w:t>
      </w:r>
      <w:r>
        <w:t xml:space="preserve"> — La </w:t>
      </w:r>
      <w:r>
        <w:rPr>
          <w:i/>
          <w:szCs w:val="24"/>
        </w:rPr>
        <w:t>notification formelle</w:t>
      </w:r>
      <w:r>
        <w:t xml:space="preserve"> doit comporter:</w:t>
      </w:r>
    </w:p>
    <w:p w14:paraId="1F46A275" w14:textId="3DCF35EF" w:rsidR="002A6FB7" w:rsidRPr="002A6FB7" w:rsidRDefault="002A6FB7" w:rsidP="002A6FB7">
      <w:pPr>
        <w:pStyle w:val="ListParagraph"/>
        <w:numPr>
          <w:ilvl w:val="0"/>
          <w:numId w:val="56"/>
        </w:numPr>
        <w:spacing w:after="100" w:afterAutospacing="1" w:line="240" w:lineRule="auto"/>
        <w:ind w:firstLine="840"/>
        <w:jc w:val="both"/>
        <w:rPr>
          <w:szCs w:val="24"/>
        </w:rPr>
      </w:pPr>
      <w:r>
        <w:t>une invitation à soumettre des observations sur la liste des subventions concernées par les constatations;</w:t>
      </w:r>
    </w:p>
    <w:p w14:paraId="73D3244A" w14:textId="77777777" w:rsidR="002A6FB7" w:rsidRPr="004264AF" w:rsidRDefault="002A6FB7" w:rsidP="002A6FB7">
      <w:pPr>
        <w:numPr>
          <w:ilvl w:val="0"/>
          <w:numId w:val="56"/>
        </w:numPr>
        <w:spacing w:before="100" w:beforeAutospacing="1" w:after="100" w:afterAutospacing="1" w:line="240" w:lineRule="auto"/>
        <w:ind w:left="2127" w:hanging="567"/>
        <w:jc w:val="both"/>
        <w:rPr>
          <w:szCs w:val="24"/>
        </w:rPr>
      </w:pPr>
      <w:r>
        <w:t>une demande de présentation d’états financiers révisés pour toutes les subventions concernées;</w:t>
      </w:r>
    </w:p>
    <w:p w14:paraId="06241728" w14:textId="77777777" w:rsidR="002A6FB7" w:rsidRPr="004264AF" w:rsidRDefault="002A6FB7" w:rsidP="002A6FB7">
      <w:pPr>
        <w:numPr>
          <w:ilvl w:val="0"/>
          <w:numId w:val="56"/>
        </w:numPr>
        <w:spacing w:before="100" w:beforeAutospacing="1" w:after="0" w:line="240" w:lineRule="auto"/>
        <w:ind w:left="2127" w:hanging="567"/>
        <w:jc w:val="both"/>
        <w:rPr>
          <w:szCs w:val="24"/>
        </w:rPr>
      </w:pPr>
      <w:r>
        <w:t xml:space="preserve"> si possible, le taux de correction pour extrapolation établi par la Commission afin de calculer les montants à rejeter sur la base des </w:t>
      </w:r>
      <w:r>
        <w:rPr>
          <w:i/>
          <w:szCs w:val="24"/>
        </w:rPr>
        <w:t>irrégularités</w:t>
      </w:r>
      <w:r>
        <w:t xml:space="preserve">, de la </w:t>
      </w:r>
      <w:r>
        <w:rPr>
          <w:i/>
          <w:szCs w:val="24"/>
        </w:rPr>
        <w:t>fraude</w:t>
      </w:r>
      <w:r>
        <w:t xml:space="preserve"> ou de la </w:t>
      </w:r>
      <w:r>
        <w:rPr>
          <w:i/>
          <w:szCs w:val="24"/>
        </w:rPr>
        <w:t>violation d’obligations</w:t>
      </w:r>
      <w:r>
        <w:t>, systémiques ou récurrentes, si le bénéficiaire:</w:t>
      </w:r>
    </w:p>
    <w:p w14:paraId="31991F24" w14:textId="77777777" w:rsidR="002A6FB7" w:rsidRPr="001C2768" w:rsidRDefault="002A6FB7" w:rsidP="002A6FB7">
      <w:pPr>
        <w:pStyle w:val="ListParagraph"/>
        <w:numPr>
          <w:ilvl w:val="0"/>
          <w:numId w:val="71"/>
        </w:numPr>
        <w:spacing w:after="100" w:afterAutospacing="1" w:line="240" w:lineRule="auto"/>
        <w:ind w:left="2552" w:hanging="284"/>
        <w:jc w:val="both"/>
        <w:rPr>
          <w:szCs w:val="24"/>
        </w:rPr>
      </w:pPr>
      <w:r>
        <w:t>considère que la présentation d’états financiers révisés n’est pas possible ou faisable; ou</w:t>
      </w:r>
    </w:p>
    <w:p w14:paraId="5A4C781A" w14:textId="77777777" w:rsidR="002A6FB7" w:rsidRPr="001C2768" w:rsidRDefault="002A6FB7" w:rsidP="002A6FB7">
      <w:pPr>
        <w:pStyle w:val="ListParagraph"/>
        <w:numPr>
          <w:ilvl w:val="0"/>
          <w:numId w:val="71"/>
        </w:numPr>
        <w:spacing w:before="100" w:beforeAutospacing="1" w:after="100" w:afterAutospacing="1" w:line="240" w:lineRule="auto"/>
        <w:ind w:left="2552" w:hanging="284"/>
        <w:jc w:val="both"/>
        <w:rPr>
          <w:szCs w:val="24"/>
        </w:rPr>
      </w:pPr>
      <w:r>
        <w:t>ne remet pas d’états financiers révisés.</w:t>
      </w:r>
    </w:p>
    <w:p w14:paraId="42A856FC" w14:textId="77777777" w:rsidR="002A6FB7" w:rsidRPr="004264AF" w:rsidRDefault="002A6FB7" w:rsidP="002A6FB7">
      <w:pPr>
        <w:spacing w:before="100" w:beforeAutospacing="1" w:after="100" w:afterAutospacing="1" w:line="240" w:lineRule="auto"/>
        <w:ind w:left="1560"/>
        <w:jc w:val="both"/>
        <w:rPr>
          <w:szCs w:val="24"/>
        </w:rPr>
      </w:pPr>
      <w:r>
        <w:rPr>
          <w:b/>
          <w:szCs w:val="24"/>
        </w:rPr>
        <w:t>Étape 2</w:t>
      </w:r>
      <w:r>
        <w:t xml:space="preserve"> — Le bénéficiaire dispose d’un délai de 60 jours civils à compter de la réception de la </w:t>
      </w:r>
      <w:r>
        <w:rPr>
          <w:i/>
          <w:szCs w:val="24"/>
        </w:rPr>
        <w:t>notification formelle</w:t>
      </w:r>
      <w:r>
        <w:t xml:space="preserve"> pour soumettre des observations et des états financiers révisés ou pour proposer une autre méthode de correction dûment justifiée. Ce délai peut être prorogé par la Commission dans des cas justifiés.</w:t>
      </w:r>
    </w:p>
    <w:p w14:paraId="4F1DDDB5" w14:textId="77777777" w:rsidR="002A6FB7" w:rsidRPr="004264AF" w:rsidRDefault="002A6FB7" w:rsidP="002A6FB7">
      <w:pPr>
        <w:spacing w:before="100" w:beforeAutospacing="1" w:after="100" w:afterAutospacing="1" w:line="240" w:lineRule="auto"/>
        <w:ind w:left="1560"/>
        <w:jc w:val="both"/>
        <w:rPr>
          <w:szCs w:val="24"/>
        </w:rPr>
      </w:pPr>
      <w:r>
        <w:rPr>
          <w:b/>
          <w:szCs w:val="24"/>
        </w:rPr>
        <w:t>Étape 3</w:t>
      </w:r>
      <w:r>
        <w:t xml:space="preserve"> — Si le bénéficiaire présente des états financiers révisés qui tiennent compte des constatations, la Commission déterminera le montant à corriger sur la base de ces états révisés.</w:t>
      </w:r>
    </w:p>
    <w:p w14:paraId="47CF52A1" w14:textId="77777777" w:rsidR="002A6FB7" w:rsidRPr="004264AF" w:rsidRDefault="002A6FB7" w:rsidP="002A6FB7">
      <w:pPr>
        <w:spacing w:before="100" w:beforeAutospacing="1" w:after="0" w:line="240" w:lineRule="auto"/>
        <w:ind w:left="1560"/>
        <w:jc w:val="both"/>
        <w:rPr>
          <w:szCs w:val="24"/>
        </w:rPr>
      </w:pPr>
      <w:r>
        <w:t xml:space="preserve">Si le bénéficiaire propose une autre méthode de correction et si la Commission l’accepte, cette dernière doit adresser une </w:t>
      </w:r>
      <w:r>
        <w:rPr>
          <w:i/>
          <w:szCs w:val="24"/>
        </w:rPr>
        <w:t>notification formelle</w:t>
      </w:r>
      <w:r>
        <w:t xml:space="preserve"> au bénéficiaire l’informant:</w:t>
      </w:r>
    </w:p>
    <w:p w14:paraId="77A1B736" w14:textId="131CFAA5" w:rsidR="002A6FB7" w:rsidRPr="002A6FB7" w:rsidRDefault="002A6FB7" w:rsidP="002A6FB7">
      <w:pPr>
        <w:pStyle w:val="ListParagraph"/>
        <w:numPr>
          <w:ilvl w:val="0"/>
          <w:numId w:val="57"/>
        </w:numPr>
        <w:spacing w:after="100" w:afterAutospacing="1" w:line="240" w:lineRule="auto"/>
        <w:ind w:firstLine="840"/>
        <w:jc w:val="both"/>
        <w:rPr>
          <w:szCs w:val="24"/>
        </w:rPr>
      </w:pPr>
      <w:r>
        <w:t>de l’acceptation de l’autre méthode;</w:t>
      </w:r>
    </w:p>
    <w:p w14:paraId="11FE92D3" w14:textId="77777777" w:rsidR="002A6FB7" w:rsidRPr="004264AF" w:rsidRDefault="002A6FB7" w:rsidP="002A6FB7">
      <w:pPr>
        <w:numPr>
          <w:ilvl w:val="0"/>
          <w:numId w:val="57"/>
        </w:numPr>
        <w:spacing w:before="100" w:beforeAutospacing="1" w:after="100" w:afterAutospacing="1" w:line="240" w:lineRule="auto"/>
        <w:ind w:left="2127" w:hanging="567"/>
        <w:jc w:val="both"/>
        <w:rPr>
          <w:szCs w:val="24"/>
        </w:rPr>
      </w:pPr>
      <w:r>
        <w:t>des coûts éligibles révisés déterminés par l’application de cette méthode.</w:t>
      </w:r>
    </w:p>
    <w:p w14:paraId="6E535409" w14:textId="77777777" w:rsidR="002A6FB7" w:rsidRPr="004264AF" w:rsidRDefault="002A6FB7" w:rsidP="002A6FB7">
      <w:pPr>
        <w:spacing w:before="100" w:beforeAutospacing="1" w:after="0" w:line="240" w:lineRule="auto"/>
        <w:ind w:left="1560"/>
        <w:jc w:val="both"/>
        <w:rPr>
          <w:szCs w:val="24"/>
        </w:rPr>
      </w:pPr>
      <w:r>
        <w:t xml:space="preserve">Autrement, la Commission doit adresser au bénéficiaire une </w:t>
      </w:r>
      <w:r>
        <w:rPr>
          <w:i/>
          <w:szCs w:val="24"/>
        </w:rPr>
        <w:t>notification formelle</w:t>
      </w:r>
      <w:r>
        <w:t xml:space="preserve"> l’informant:</w:t>
      </w:r>
    </w:p>
    <w:p w14:paraId="0DCBBDA1" w14:textId="2F34D445" w:rsidR="002A6FB7" w:rsidRPr="002A6FB7" w:rsidRDefault="002A6FB7" w:rsidP="00C4271D">
      <w:pPr>
        <w:pStyle w:val="ListParagraph"/>
        <w:numPr>
          <w:ilvl w:val="0"/>
          <w:numId w:val="58"/>
        </w:numPr>
        <w:spacing w:after="100" w:afterAutospacing="1" w:line="240" w:lineRule="auto"/>
        <w:ind w:firstLine="840"/>
        <w:jc w:val="both"/>
        <w:rPr>
          <w:szCs w:val="24"/>
        </w:rPr>
      </w:pPr>
      <w:r>
        <w:t>de la non-acceptation des observations ou de l’autre méthode proposée;</w:t>
      </w:r>
    </w:p>
    <w:p w14:paraId="5C3693BE" w14:textId="77777777" w:rsidR="002A6FB7" w:rsidRPr="004264AF" w:rsidRDefault="002A6FB7" w:rsidP="00C4271D">
      <w:pPr>
        <w:numPr>
          <w:ilvl w:val="0"/>
          <w:numId w:val="58"/>
        </w:numPr>
        <w:spacing w:before="100" w:beforeAutospacing="1" w:after="100" w:afterAutospacing="1" w:line="240" w:lineRule="auto"/>
        <w:ind w:left="2127" w:hanging="567"/>
        <w:jc w:val="both"/>
        <w:rPr>
          <w:szCs w:val="24"/>
        </w:rPr>
      </w:pPr>
      <w:r>
        <w:t>des coûts éligibles révisés déterminés par l’application de la méthode d’extrapolation initialement notifiée au bénéficiaire.</w:t>
      </w:r>
    </w:p>
    <w:p w14:paraId="34CEBA17" w14:textId="77777777" w:rsidR="002A6FB7" w:rsidRPr="004264AF" w:rsidRDefault="002A6FB7" w:rsidP="002A6FB7">
      <w:pPr>
        <w:spacing w:before="100" w:beforeAutospacing="1" w:after="0" w:line="240" w:lineRule="auto"/>
        <w:ind w:left="1560"/>
        <w:jc w:val="both"/>
        <w:rPr>
          <w:szCs w:val="24"/>
        </w:rPr>
      </w:pPr>
      <w:r>
        <w:t xml:space="preserve">Si les </w:t>
      </w:r>
      <w:r>
        <w:rPr>
          <w:i/>
          <w:szCs w:val="24"/>
        </w:rPr>
        <w:t>irrégularités</w:t>
      </w:r>
      <w:r>
        <w:t xml:space="preserve">, la </w:t>
      </w:r>
      <w:r>
        <w:rPr>
          <w:i/>
          <w:szCs w:val="24"/>
        </w:rPr>
        <w:t>fraude</w:t>
      </w:r>
      <w:r>
        <w:t xml:space="preserve"> ou la </w:t>
      </w:r>
      <w:r>
        <w:rPr>
          <w:i/>
          <w:szCs w:val="24"/>
        </w:rPr>
        <w:t>violation d’obligations</w:t>
      </w:r>
      <w:r>
        <w:t>, systémiques ou récurrentes, sont constatées après le paiement du solde, le montant à recouvrer correspond à la différence entre:</w:t>
      </w:r>
    </w:p>
    <w:p w14:paraId="79C5C491" w14:textId="54DC64D3" w:rsidR="002A6FB7" w:rsidRPr="002A6FB7" w:rsidRDefault="002A6FB7" w:rsidP="002A6FB7">
      <w:pPr>
        <w:pStyle w:val="ListParagraph"/>
        <w:numPr>
          <w:ilvl w:val="0"/>
          <w:numId w:val="59"/>
        </w:numPr>
        <w:spacing w:after="100" w:afterAutospacing="1" w:line="240" w:lineRule="auto"/>
        <w:ind w:firstLine="840"/>
        <w:jc w:val="both"/>
        <w:rPr>
          <w:szCs w:val="24"/>
        </w:rPr>
      </w:pPr>
      <w:r>
        <w:t>le montant final révisé de la subvention, déterminé conformément à l’article II.25 sur la base des coûts éligibles révisés déclarés par le bénéficiaire et approuvés par la Commission ou sur la base des coûts éligibles révisés après extrapolation; et</w:t>
      </w:r>
    </w:p>
    <w:p w14:paraId="3312E211" w14:textId="77777777" w:rsidR="002A6FB7" w:rsidRPr="004264AF" w:rsidRDefault="002A6FB7" w:rsidP="002A6FB7">
      <w:pPr>
        <w:numPr>
          <w:ilvl w:val="0"/>
          <w:numId w:val="59"/>
        </w:numPr>
        <w:spacing w:before="100" w:beforeAutospacing="1" w:after="100" w:afterAutospacing="1" w:line="240" w:lineRule="auto"/>
        <w:ind w:left="2127" w:hanging="567"/>
        <w:jc w:val="both"/>
        <w:rPr>
          <w:szCs w:val="24"/>
        </w:rPr>
      </w:pPr>
      <w:r>
        <w:t>le montant total versé au bénéficiaire au titre de la convention pour l’exécution de l’</w:t>
      </w:r>
      <w:r>
        <w:rPr>
          <w:i/>
          <w:szCs w:val="24"/>
        </w:rPr>
        <w:t>action</w:t>
      </w:r>
      <w:r>
        <w:t>.</w:t>
      </w:r>
    </w:p>
    <w:p w14:paraId="03DA287F" w14:textId="77777777" w:rsidR="002A6FB7" w:rsidRPr="002A6FB7" w:rsidRDefault="002A6FB7" w:rsidP="002A6FB7">
      <w:pPr>
        <w:pStyle w:val="ListParagraph"/>
        <w:spacing w:before="100" w:beforeAutospacing="1" w:after="100" w:afterAutospacing="1" w:line="240" w:lineRule="auto"/>
        <w:ind w:left="1080"/>
        <w:jc w:val="both"/>
        <w:rPr>
          <w:szCs w:val="24"/>
        </w:rPr>
      </w:pPr>
    </w:p>
    <w:p w14:paraId="3BBB8D9B" w14:textId="78DCBB01" w:rsidR="00D30E81" w:rsidRPr="002A6FB7" w:rsidRDefault="00D30E81" w:rsidP="002A6FB7">
      <w:pPr>
        <w:pStyle w:val="ListParagraph"/>
        <w:numPr>
          <w:ilvl w:val="0"/>
          <w:numId w:val="80"/>
        </w:numPr>
        <w:spacing w:before="100" w:beforeAutospacing="1" w:after="100" w:afterAutospacing="1" w:line="240" w:lineRule="auto"/>
        <w:jc w:val="both"/>
        <w:rPr>
          <w:szCs w:val="24"/>
        </w:rPr>
      </w:pPr>
      <w:r>
        <w:t>Si les constatations portent sur une exécution incorrecte ou une violation d’une autre obligation, la procédure est la suivante:</w:t>
      </w:r>
    </w:p>
    <w:p w14:paraId="3BBB8D9C" w14:textId="77777777" w:rsidR="00D30E81" w:rsidRPr="004264AF" w:rsidRDefault="00D30E81" w:rsidP="001C2768">
      <w:pPr>
        <w:spacing w:before="100" w:beforeAutospacing="1" w:after="0" w:line="240" w:lineRule="auto"/>
        <w:ind w:left="1560"/>
        <w:jc w:val="both"/>
        <w:rPr>
          <w:szCs w:val="24"/>
        </w:rPr>
      </w:pPr>
      <w:r>
        <w:rPr>
          <w:b/>
          <w:szCs w:val="24"/>
        </w:rPr>
        <w:t>Étape 1</w:t>
      </w:r>
      <w:r>
        <w:t xml:space="preserve"> — La </w:t>
      </w:r>
      <w:r>
        <w:rPr>
          <w:i/>
          <w:szCs w:val="24"/>
        </w:rPr>
        <w:t>notification formelle</w:t>
      </w:r>
      <w:r>
        <w:t xml:space="preserve"> doit comporter:</w:t>
      </w:r>
    </w:p>
    <w:p w14:paraId="3BBB8D9D" w14:textId="24AE92AB" w:rsidR="00D30E81" w:rsidRPr="00C4271D" w:rsidRDefault="00D30E81" w:rsidP="00C4271D">
      <w:pPr>
        <w:pStyle w:val="ListParagraph"/>
        <w:numPr>
          <w:ilvl w:val="0"/>
          <w:numId w:val="60"/>
        </w:numPr>
        <w:spacing w:after="100" w:afterAutospacing="1" w:line="240" w:lineRule="auto"/>
        <w:ind w:left="2127" w:hanging="567"/>
        <w:jc w:val="both"/>
        <w:rPr>
          <w:szCs w:val="24"/>
        </w:rPr>
      </w:pPr>
      <w:r>
        <w:t>une invitation faite au bénéficiaire de soumettre des observations sur la liste des subventions concernées par les constatations et</w:t>
      </w:r>
    </w:p>
    <w:p w14:paraId="3BBB8D9E" w14:textId="77777777" w:rsidR="00D30E81" w:rsidRPr="004264AF" w:rsidRDefault="00D30E81" w:rsidP="00C4271D">
      <w:pPr>
        <w:numPr>
          <w:ilvl w:val="0"/>
          <w:numId w:val="60"/>
        </w:numPr>
        <w:spacing w:before="100" w:beforeAutospacing="1" w:after="100" w:afterAutospacing="1" w:line="240" w:lineRule="auto"/>
        <w:ind w:left="2127" w:hanging="567"/>
        <w:jc w:val="both"/>
        <w:rPr>
          <w:szCs w:val="24"/>
        </w:rPr>
      </w:pPr>
      <w:r>
        <w:t xml:space="preserve">le taux de correction forfaitaire que la Commission a l’intention d’appliquer au </w:t>
      </w:r>
      <w:r>
        <w:rPr>
          <w:i/>
          <w:szCs w:val="24"/>
        </w:rPr>
        <w:t>montant maximal de la subvention</w:t>
      </w:r>
      <w:r>
        <w:t xml:space="preserve"> ou à une partie de ce montant, conformément au principe de proportionnalité.</w:t>
      </w:r>
    </w:p>
    <w:p w14:paraId="3BBB8D9F" w14:textId="77777777" w:rsidR="00D30E81" w:rsidRPr="004264AF" w:rsidRDefault="00D30E81" w:rsidP="00C80215">
      <w:pPr>
        <w:spacing w:before="100" w:beforeAutospacing="1" w:after="100" w:afterAutospacing="1" w:line="240" w:lineRule="auto"/>
        <w:ind w:left="1560"/>
        <w:jc w:val="both"/>
        <w:rPr>
          <w:szCs w:val="24"/>
        </w:rPr>
      </w:pPr>
      <w:r>
        <w:rPr>
          <w:b/>
          <w:szCs w:val="24"/>
        </w:rPr>
        <w:t>Étape 2</w:t>
      </w:r>
      <w:r>
        <w:t xml:space="preserve"> — Le bénéficiaire dispose de 60 jours civils à compter de la réception de la </w:t>
      </w:r>
      <w:r>
        <w:rPr>
          <w:i/>
          <w:szCs w:val="24"/>
        </w:rPr>
        <w:t>notification formelle</w:t>
      </w:r>
      <w:r>
        <w:t xml:space="preserve"> pour formuler des observations ou proposer un autre taux forfaitaire dûment justifié.</w:t>
      </w:r>
    </w:p>
    <w:p w14:paraId="3BBB8DA0" w14:textId="77777777" w:rsidR="00D30E81" w:rsidRPr="004264AF" w:rsidRDefault="00D30E81" w:rsidP="001C2768">
      <w:pPr>
        <w:spacing w:before="100" w:beforeAutospacing="1" w:after="0" w:line="240" w:lineRule="auto"/>
        <w:ind w:left="1560"/>
        <w:jc w:val="both"/>
        <w:rPr>
          <w:szCs w:val="24"/>
        </w:rPr>
      </w:pPr>
      <w:r>
        <w:rPr>
          <w:b/>
          <w:szCs w:val="24"/>
        </w:rPr>
        <w:t>Étape 3</w:t>
      </w:r>
      <w:r>
        <w:t xml:space="preserve"> — Si elle accepte l’autre taux forfaitaire proposé par le bénéficiaire, la Commission doit lui adresser une </w:t>
      </w:r>
      <w:r>
        <w:rPr>
          <w:i/>
          <w:szCs w:val="24"/>
        </w:rPr>
        <w:t>notification formelle</w:t>
      </w:r>
      <w:r>
        <w:t xml:space="preserve"> l’informant:</w:t>
      </w:r>
    </w:p>
    <w:p w14:paraId="3BBB8DA1" w14:textId="2095BB28" w:rsidR="00D30E81" w:rsidRPr="00C4271D" w:rsidRDefault="00D30E81" w:rsidP="00C4271D">
      <w:pPr>
        <w:pStyle w:val="ListParagraph"/>
        <w:numPr>
          <w:ilvl w:val="0"/>
          <w:numId w:val="61"/>
        </w:numPr>
        <w:spacing w:after="100" w:afterAutospacing="1" w:line="240" w:lineRule="auto"/>
        <w:ind w:firstLine="840"/>
        <w:jc w:val="both"/>
        <w:rPr>
          <w:szCs w:val="24"/>
        </w:rPr>
      </w:pPr>
      <w:r>
        <w:t>de l’acceptation de l’autre taux forfaitaire;</w:t>
      </w:r>
    </w:p>
    <w:p w14:paraId="3BBB8DA2" w14:textId="77777777" w:rsidR="00D30E81" w:rsidRPr="004264AF" w:rsidRDefault="00D30E81" w:rsidP="002A6FB7">
      <w:pPr>
        <w:numPr>
          <w:ilvl w:val="0"/>
          <w:numId w:val="61"/>
        </w:numPr>
        <w:spacing w:before="100" w:beforeAutospacing="1" w:after="100" w:afterAutospacing="1" w:line="240" w:lineRule="auto"/>
        <w:ind w:left="2127" w:hanging="567"/>
        <w:jc w:val="both"/>
        <w:rPr>
          <w:szCs w:val="24"/>
        </w:rPr>
      </w:pPr>
      <w:r>
        <w:t>du montant de la subvention corrigé par l’application de ce taux forfaitaire.</w:t>
      </w:r>
    </w:p>
    <w:p w14:paraId="3BBB8DA3" w14:textId="77777777" w:rsidR="00D30E81" w:rsidRPr="004264AF" w:rsidRDefault="00D30E81" w:rsidP="001C2768">
      <w:pPr>
        <w:spacing w:before="100" w:beforeAutospacing="1" w:after="0" w:line="240" w:lineRule="auto"/>
        <w:ind w:left="1560"/>
        <w:jc w:val="both"/>
        <w:rPr>
          <w:szCs w:val="24"/>
        </w:rPr>
      </w:pPr>
      <w:r>
        <w:t xml:space="preserve">Autrement, la Commission doit adresser au bénéficiaire une </w:t>
      </w:r>
      <w:r>
        <w:rPr>
          <w:i/>
          <w:szCs w:val="24"/>
        </w:rPr>
        <w:t>notification formelle</w:t>
      </w:r>
      <w:r>
        <w:t xml:space="preserve"> l’informant:</w:t>
      </w:r>
    </w:p>
    <w:p w14:paraId="3BBB8DA4" w14:textId="23DAE313" w:rsidR="00D30E81" w:rsidRPr="00C4271D" w:rsidRDefault="00D30E81" w:rsidP="00C4271D">
      <w:pPr>
        <w:pStyle w:val="ListParagraph"/>
        <w:numPr>
          <w:ilvl w:val="0"/>
          <w:numId w:val="62"/>
        </w:numPr>
        <w:spacing w:after="100" w:afterAutospacing="1" w:line="240" w:lineRule="auto"/>
        <w:ind w:left="2127" w:hanging="567"/>
        <w:jc w:val="both"/>
        <w:rPr>
          <w:szCs w:val="24"/>
        </w:rPr>
      </w:pPr>
      <w:r>
        <w:t>de la non-acceptation des observations ou de l’autre taux forfaitaire proposé;</w:t>
      </w:r>
    </w:p>
    <w:p w14:paraId="3BBB8DA5" w14:textId="77777777" w:rsidR="00D30E81" w:rsidRPr="004264AF" w:rsidRDefault="00D30E81" w:rsidP="00C4271D">
      <w:pPr>
        <w:numPr>
          <w:ilvl w:val="0"/>
          <w:numId w:val="62"/>
        </w:numPr>
        <w:spacing w:before="100" w:beforeAutospacing="1" w:after="100" w:afterAutospacing="1" w:line="240" w:lineRule="auto"/>
        <w:ind w:left="2127" w:hanging="567"/>
        <w:jc w:val="both"/>
        <w:rPr>
          <w:szCs w:val="24"/>
        </w:rPr>
      </w:pPr>
      <w:r>
        <w:t>du montant de la subvention corrigé par l’application du taux forfaitaire initialement notifié au bénéficiaire.</w:t>
      </w:r>
    </w:p>
    <w:p w14:paraId="3BBB8DA6" w14:textId="08C15DD6" w:rsidR="00D30E81" w:rsidRPr="004264AF" w:rsidRDefault="00D30E81" w:rsidP="001C2768">
      <w:pPr>
        <w:spacing w:before="100" w:beforeAutospacing="1" w:after="0" w:line="240" w:lineRule="auto"/>
        <w:ind w:left="1560"/>
        <w:jc w:val="both"/>
        <w:rPr>
          <w:szCs w:val="24"/>
        </w:rPr>
      </w:pPr>
      <w:r>
        <w:t xml:space="preserve">Si les </w:t>
      </w:r>
      <w:r>
        <w:rPr>
          <w:i/>
          <w:szCs w:val="24"/>
        </w:rPr>
        <w:t>irrégularités</w:t>
      </w:r>
      <w:r>
        <w:t xml:space="preserve">, la </w:t>
      </w:r>
      <w:r>
        <w:rPr>
          <w:i/>
          <w:szCs w:val="24"/>
        </w:rPr>
        <w:t>fraude</w:t>
      </w:r>
      <w:r>
        <w:t xml:space="preserve"> ou la </w:t>
      </w:r>
      <w:r>
        <w:rPr>
          <w:i/>
          <w:szCs w:val="24"/>
        </w:rPr>
        <w:t>violation d’obligations</w:t>
      </w:r>
      <w:r>
        <w:t>, systémiques ou récurrentes, sont constatées après le paiement du solde, le montant à recouvrer correspond à la différence entre:</w:t>
      </w:r>
    </w:p>
    <w:p w14:paraId="3BBB8DA7" w14:textId="508ECDB1" w:rsidR="00D30E81" w:rsidRPr="00C4271D" w:rsidRDefault="00D30E81" w:rsidP="00C4271D">
      <w:pPr>
        <w:pStyle w:val="ListParagraph"/>
        <w:numPr>
          <w:ilvl w:val="0"/>
          <w:numId w:val="63"/>
        </w:numPr>
        <w:spacing w:after="100" w:afterAutospacing="1" w:line="240" w:lineRule="auto"/>
        <w:ind w:firstLine="840"/>
        <w:jc w:val="both"/>
        <w:rPr>
          <w:szCs w:val="24"/>
        </w:rPr>
      </w:pPr>
      <w:r>
        <w:t>le montant final révisé de la subvention après correction forfaitaire; et</w:t>
      </w:r>
    </w:p>
    <w:p w14:paraId="3BBB8DA8" w14:textId="77777777" w:rsidR="00D30E81" w:rsidRPr="004264AF" w:rsidRDefault="00D30E81" w:rsidP="002A6FB7">
      <w:pPr>
        <w:numPr>
          <w:ilvl w:val="0"/>
          <w:numId w:val="63"/>
        </w:numPr>
        <w:spacing w:before="100" w:beforeAutospacing="1" w:after="100" w:afterAutospacing="1" w:line="240" w:lineRule="auto"/>
        <w:ind w:left="2127" w:hanging="567"/>
        <w:jc w:val="both"/>
        <w:rPr>
          <w:szCs w:val="24"/>
        </w:rPr>
      </w:pPr>
      <w:r>
        <w:t>le montant total versé au bénéficiaire au titre de la convention pour l’exécution de l’</w:t>
      </w:r>
      <w:r>
        <w:rPr>
          <w:i/>
          <w:szCs w:val="24"/>
        </w:rPr>
        <w:t>action</w:t>
      </w:r>
      <w:r>
        <w:t>.</w:t>
      </w:r>
    </w:p>
    <w:p w14:paraId="3BBB8DA9" w14:textId="24092C68" w:rsidR="00D30E81" w:rsidRPr="00D06D68" w:rsidRDefault="00D30E81" w:rsidP="00797757">
      <w:pPr>
        <w:pStyle w:val="Heading3"/>
        <w:spacing w:before="100" w:beforeAutospacing="1" w:after="100" w:afterAutospacing="1"/>
      </w:pPr>
      <w:bookmarkStart w:id="142" w:name="_Toc441250891"/>
      <w:bookmarkStart w:id="143" w:name="_Toc81831098"/>
      <w:r>
        <w:t>II.27.8 Droits de l’OLAF</w:t>
      </w:r>
      <w:bookmarkEnd w:id="142"/>
      <w:bookmarkEnd w:id="143"/>
    </w:p>
    <w:p w14:paraId="3BBB8DAA" w14:textId="77777777" w:rsidR="00D30E81" w:rsidRPr="004264AF" w:rsidRDefault="00D30E81" w:rsidP="00797757">
      <w:pPr>
        <w:spacing w:before="100" w:beforeAutospacing="1" w:after="100" w:afterAutospacing="1" w:line="240" w:lineRule="auto"/>
        <w:jc w:val="both"/>
        <w:rPr>
          <w:szCs w:val="24"/>
        </w:rPr>
      </w:pPr>
      <w:r>
        <w:t>L’Office européen de lutte antifraude (OLAF) dispose des mêmes droits que la Commission, et en particulier du droit d’accès, aux fins de contrôles et d’enquêtes.</w:t>
      </w:r>
    </w:p>
    <w:p w14:paraId="3BBB8DAB" w14:textId="77777777" w:rsidR="00D30E81" w:rsidRPr="004264AF" w:rsidRDefault="00D30E81" w:rsidP="00797757">
      <w:pPr>
        <w:spacing w:before="100" w:beforeAutospacing="1" w:after="100" w:afterAutospacing="1" w:line="240" w:lineRule="auto"/>
        <w:jc w:val="both"/>
        <w:rPr>
          <w:szCs w:val="24"/>
        </w:rPr>
      </w:pPr>
      <w:r>
        <w:t>En vertu du règlement (Euratom, CE) nº 2185/96</w:t>
      </w:r>
      <w:r>
        <w:rPr>
          <w:rStyle w:val="FootnoteReference"/>
          <w:szCs w:val="24"/>
        </w:rPr>
        <w:footnoteReference w:id="5"/>
      </w:r>
      <w:r>
        <w:t xml:space="preserve"> du Conseil et du règlement (UE, Euratom) nº 883/2013</w:t>
      </w:r>
      <w:r>
        <w:rPr>
          <w:rStyle w:val="FootnoteReference"/>
          <w:szCs w:val="24"/>
        </w:rPr>
        <w:footnoteReference w:id="6"/>
      </w:r>
      <w:r>
        <w:t xml:space="preserve">, l’OLAF peut également effectuer des contrôles et des vérifications sur place selon les procédures prévues par le droit de l’Union pour la protection des intérêts financiers de l’Union contre les </w:t>
      </w:r>
      <w:r>
        <w:rPr>
          <w:i/>
          <w:szCs w:val="24"/>
        </w:rPr>
        <w:t>fraudes</w:t>
      </w:r>
      <w:r>
        <w:t xml:space="preserve"> et autres </w:t>
      </w:r>
      <w:r>
        <w:rPr>
          <w:i/>
          <w:szCs w:val="24"/>
        </w:rPr>
        <w:t>irrégularités</w:t>
      </w:r>
      <w:r>
        <w:t>.</w:t>
      </w:r>
    </w:p>
    <w:p w14:paraId="3BBB8DAC" w14:textId="77777777" w:rsidR="00D30E81" w:rsidRPr="004264AF" w:rsidRDefault="00D30E81" w:rsidP="00797757">
      <w:pPr>
        <w:spacing w:before="100" w:beforeAutospacing="1" w:after="100" w:afterAutospacing="1" w:line="240" w:lineRule="auto"/>
        <w:jc w:val="both"/>
        <w:rPr>
          <w:szCs w:val="24"/>
        </w:rPr>
      </w:pPr>
      <w:r>
        <w:t>Si nécessaire, les constatations de l’OLAF peuvent donner lieu à recouvrement par la Commission auprès du bénéficiaire.</w:t>
      </w:r>
    </w:p>
    <w:p w14:paraId="3BBB8DAD" w14:textId="77777777" w:rsidR="00D30E81" w:rsidRPr="004264AF" w:rsidRDefault="00D30E81" w:rsidP="00797757">
      <w:pPr>
        <w:spacing w:before="100" w:beforeAutospacing="1" w:after="100" w:afterAutospacing="1" w:line="240" w:lineRule="auto"/>
        <w:jc w:val="both"/>
        <w:rPr>
          <w:szCs w:val="24"/>
        </w:rPr>
      </w:pPr>
      <w:r>
        <w:t>Les constatations issues d’une enquête de l’OLAF peuvent entraîner des poursuites judiciaires au titre de la législation nationale.</w:t>
      </w:r>
    </w:p>
    <w:p w14:paraId="3BBB8DAE" w14:textId="2597623F" w:rsidR="00D30E81" w:rsidRPr="00D06D68" w:rsidRDefault="00D30E81" w:rsidP="00797757">
      <w:pPr>
        <w:pStyle w:val="Heading3"/>
        <w:spacing w:before="100" w:beforeAutospacing="1" w:after="100" w:afterAutospacing="1"/>
      </w:pPr>
      <w:bookmarkStart w:id="144" w:name="_Toc81831099"/>
      <w:r>
        <w:t>II.27.9</w:t>
      </w:r>
      <w:r>
        <w:tab/>
      </w:r>
      <w:bookmarkStart w:id="145" w:name="_Toc441250892"/>
      <w:r>
        <w:t>Droits de la Cour des comptes européenne</w:t>
      </w:r>
      <w:bookmarkEnd w:id="145"/>
      <w:r>
        <w:t xml:space="preserve"> et du Parquet européen</w:t>
      </w:r>
      <w:bookmarkEnd w:id="144"/>
    </w:p>
    <w:p w14:paraId="3BBB8DAF" w14:textId="1C3F4656" w:rsidR="00D30E81" w:rsidRPr="004264AF" w:rsidRDefault="00D30E81" w:rsidP="00797757">
      <w:pPr>
        <w:spacing w:before="100" w:beforeAutospacing="1" w:after="100" w:afterAutospacing="1" w:line="240" w:lineRule="auto"/>
        <w:jc w:val="both"/>
        <w:rPr>
          <w:szCs w:val="24"/>
        </w:rPr>
      </w:pPr>
      <w:r>
        <w:t>La Cour des comptes européenne et le Parquet européen institué par le règlement (UE) 2017/1939 du Conseil disposent des mêmes droits, notamment du droit d’accès, que la Commission en ce qui concerne les contrôles, audits et enquêtes.</w:t>
      </w:r>
    </w:p>
    <w:sectPr w:rsidR="00D30E81" w:rsidRPr="004264AF">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B8DB4" w14:textId="77777777" w:rsidR="00455B9B" w:rsidRDefault="00455B9B" w:rsidP="009533DC">
      <w:pPr>
        <w:spacing w:after="0" w:line="240" w:lineRule="auto"/>
      </w:pPr>
      <w:r>
        <w:separator/>
      </w:r>
    </w:p>
  </w:endnote>
  <w:endnote w:type="continuationSeparator" w:id="0">
    <w:p w14:paraId="3BBB8DB5" w14:textId="77777777" w:rsidR="00455B9B" w:rsidRDefault="00455B9B" w:rsidP="00953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2E183" w14:textId="77777777" w:rsidR="0079062E" w:rsidRDefault="007906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B8DB7" w14:textId="0D193E85" w:rsidR="00455B9B" w:rsidRDefault="00455B9B">
    <w:pPr>
      <w:pStyle w:val="Footer"/>
      <w:jc w:val="right"/>
    </w:pPr>
    <w:r>
      <w:fldChar w:fldCharType="begin"/>
    </w:r>
    <w:r>
      <w:instrText xml:space="preserve"> PAGE   \* MERGEFORMAT </w:instrText>
    </w:r>
    <w:r>
      <w:fldChar w:fldCharType="separate"/>
    </w:r>
    <w:r w:rsidR="00463140">
      <w:rPr>
        <w:noProof/>
      </w:rPr>
      <w:t>1</w:t>
    </w:r>
    <w:r>
      <w:fldChar w:fldCharType="end"/>
    </w:r>
  </w:p>
  <w:p w14:paraId="3BBB8DB8" w14:textId="77777777" w:rsidR="00455B9B" w:rsidRDefault="00455B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8AAED" w14:textId="77777777" w:rsidR="0079062E" w:rsidRDefault="007906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B8DBA" w14:textId="041D538B" w:rsidR="00455B9B" w:rsidRDefault="00455B9B">
    <w:pPr>
      <w:pStyle w:val="Footer"/>
      <w:jc w:val="right"/>
    </w:pPr>
    <w:r>
      <w:fldChar w:fldCharType="begin"/>
    </w:r>
    <w:r>
      <w:instrText xml:space="preserve"> PAGE   \* MERGEFORMAT </w:instrText>
    </w:r>
    <w:r>
      <w:fldChar w:fldCharType="separate"/>
    </w:r>
    <w:r w:rsidR="0047638B">
      <w:rPr>
        <w:noProof/>
      </w:rPr>
      <w:t>35</w:t>
    </w:r>
    <w:r>
      <w:fldChar w:fldCharType="end"/>
    </w:r>
  </w:p>
  <w:p w14:paraId="3BBB8DBB" w14:textId="77777777" w:rsidR="00455B9B" w:rsidRDefault="00455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B8DB2" w14:textId="77777777" w:rsidR="00455B9B" w:rsidRDefault="00455B9B" w:rsidP="009533DC">
      <w:pPr>
        <w:spacing w:after="0" w:line="240" w:lineRule="auto"/>
      </w:pPr>
      <w:r>
        <w:separator/>
      </w:r>
    </w:p>
  </w:footnote>
  <w:footnote w:type="continuationSeparator" w:id="0">
    <w:p w14:paraId="3BBB8DB3" w14:textId="77777777" w:rsidR="00455B9B" w:rsidRDefault="00455B9B" w:rsidP="009533DC">
      <w:pPr>
        <w:spacing w:after="0" w:line="240" w:lineRule="auto"/>
      </w:pPr>
      <w:r>
        <w:continuationSeparator/>
      </w:r>
    </w:p>
  </w:footnote>
  <w:footnote w:id="1">
    <w:p w14:paraId="3BBB8DE9" w14:textId="12010E05" w:rsidR="00455B9B" w:rsidRPr="00A83724" w:rsidRDefault="00455B9B" w:rsidP="002F2688">
      <w:pPr>
        <w:tabs>
          <w:tab w:val="left" w:pos="284"/>
        </w:tabs>
        <w:spacing w:after="0" w:line="240" w:lineRule="auto"/>
        <w:ind w:left="284" w:hanging="284"/>
        <w:jc w:val="both"/>
        <w:rPr>
          <w:sz w:val="20"/>
          <w:szCs w:val="20"/>
        </w:rPr>
      </w:pPr>
      <w:r>
        <w:rPr>
          <w:rStyle w:val="FootnoteReference"/>
          <w:sz w:val="20"/>
          <w:szCs w:val="20"/>
        </w:rPr>
        <w:footnoteRef/>
      </w:r>
      <w:r>
        <w:rPr>
          <w:sz w:val="20"/>
          <w:szCs w:val="20"/>
        </w:rPr>
        <w:t xml:space="preserve"> </w:t>
      </w:r>
      <w:r>
        <w:tab/>
      </w:r>
      <w:r>
        <w:rPr>
          <w:sz w:val="20"/>
        </w:rPr>
        <w:t>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nº 45/2001 et la décision nº 1247/2002/CE.</w:t>
      </w:r>
    </w:p>
  </w:footnote>
  <w:footnote w:id="2">
    <w:p w14:paraId="3BBB8DEA" w14:textId="67B414F1" w:rsidR="00455B9B" w:rsidRPr="003F39F9" w:rsidRDefault="00455B9B" w:rsidP="001C2768">
      <w:pPr>
        <w:pStyle w:val="FootnoteText"/>
        <w:tabs>
          <w:tab w:val="left" w:pos="284"/>
        </w:tabs>
        <w:spacing w:after="0" w:line="240" w:lineRule="auto"/>
        <w:ind w:left="284" w:hanging="284"/>
        <w:jc w:val="both"/>
      </w:pPr>
      <w:r>
        <w:rPr>
          <w:rStyle w:val="FootnoteReference"/>
        </w:rPr>
        <w:footnoteRef/>
      </w:r>
      <w:r>
        <w:t xml:space="preserve"> </w:t>
      </w:r>
      <w:r>
        <w:tab/>
        <w:t>Directive 2014/24/UE du Parlement européen et du Conseil du 26 février 2014 sur la passation des marchés publics et abrogeant la directive 2004/18/CE.</w:t>
      </w:r>
    </w:p>
  </w:footnote>
  <w:footnote w:id="3">
    <w:p w14:paraId="3BBB8DEB" w14:textId="7743A174" w:rsidR="00455B9B" w:rsidRPr="003F39F9" w:rsidRDefault="00455B9B" w:rsidP="001C2768">
      <w:pPr>
        <w:pStyle w:val="FootnoteText"/>
        <w:tabs>
          <w:tab w:val="left" w:pos="284"/>
        </w:tabs>
        <w:spacing w:after="0" w:line="240" w:lineRule="auto"/>
        <w:ind w:left="284" w:hanging="284"/>
        <w:jc w:val="both"/>
      </w:pPr>
      <w:r>
        <w:rPr>
          <w:rStyle w:val="FootnoteReference"/>
        </w:rPr>
        <w:footnoteRef/>
      </w:r>
      <w:r>
        <w:t xml:space="preserve"> </w:t>
      </w:r>
      <w:r>
        <w:tab/>
        <w:t>Directive 2014/25/UE du Parlement européen et du Conseil du 26 février 2014 relative à la passation de marchés par des entités opérant dans les secteurs de l’eau, de l’énergie, des transports et des services postaux et abrogeant la directive 2004/17/CE.</w:t>
      </w:r>
    </w:p>
    <w:p w14:paraId="3BBB8DEC" w14:textId="77777777" w:rsidR="00455B9B" w:rsidRPr="00A83724" w:rsidRDefault="00455B9B" w:rsidP="00A538BB">
      <w:pPr>
        <w:pStyle w:val="FootnoteText"/>
        <w:tabs>
          <w:tab w:val="left" w:pos="284"/>
        </w:tabs>
        <w:spacing w:after="0" w:line="240" w:lineRule="auto"/>
        <w:ind w:left="284" w:hanging="284"/>
      </w:pPr>
    </w:p>
  </w:footnote>
  <w:footnote w:id="4">
    <w:p w14:paraId="3BBB8DEE" w14:textId="554BF9A0" w:rsidR="00455B9B" w:rsidRPr="006250FD" w:rsidRDefault="00455B9B" w:rsidP="001C2768">
      <w:pPr>
        <w:pStyle w:val="FootnoteText"/>
        <w:tabs>
          <w:tab w:val="left" w:pos="284"/>
        </w:tabs>
        <w:spacing w:after="0" w:line="240" w:lineRule="auto"/>
        <w:ind w:left="284" w:hanging="284"/>
        <w:jc w:val="both"/>
      </w:pPr>
      <w:r>
        <w:rPr>
          <w:rStyle w:val="FootnoteReference"/>
        </w:rPr>
        <w:footnoteRef/>
      </w:r>
      <w:r>
        <w:t xml:space="preserve"> </w:t>
      </w:r>
      <w:r>
        <w:tab/>
        <w:t>Directive 2007/64/CE du Parlement européen et du Conseil du 13 novembre 2007 concernant les services de paiement dans le marché intérieur, modifiant les directives 97/7/CE, 2002/65/CE, 2005/60/CE ainsi que 2006/48/CE et abrogeant la directive 97/5/CE.</w:t>
      </w:r>
    </w:p>
  </w:footnote>
  <w:footnote w:id="5">
    <w:p w14:paraId="3BBB8DEF" w14:textId="5F7078BA" w:rsidR="00455B9B" w:rsidRPr="00A83724" w:rsidRDefault="00455B9B" w:rsidP="001C2768">
      <w:pPr>
        <w:pStyle w:val="FootnoteText"/>
        <w:tabs>
          <w:tab w:val="left" w:pos="284"/>
        </w:tabs>
        <w:spacing w:after="0" w:line="240" w:lineRule="auto"/>
        <w:ind w:left="284" w:hanging="284"/>
        <w:jc w:val="both"/>
      </w:pPr>
      <w:r>
        <w:rPr>
          <w:rStyle w:val="FootnoteReference"/>
        </w:rPr>
        <w:footnoteRef/>
      </w:r>
      <w:r>
        <w:t xml:space="preserve"> </w:t>
      </w:r>
      <w:r>
        <w:tab/>
        <w:t>Règlement (Euratom, CE) nº 2185/96 du Conseil du 11 novembre 1996 relatif aux contrôles et vérifications sur place effectués par la Commission pour la protection des intérêts financiers des Communautés européennes contre les fraudes et autres irrégularités.</w:t>
      </w:r>
    </w:p>
  </w:footnote>
  <w:footnote w:id="6">
    <w:p w14:paraId="3BBB8DF0" w14:textId="78D45C92" w:rsidR="00455B9B" w:rsidRPr="00A83724" w:rsidRDefault="00455B9B" w:rsidP="001C2768">
      <w:pPr>
        <w:pStyle w:val="FootnoteText"/>
        <w:tabs>
          <w:tab w:val="left" w:pos="284"/>
        </w:tabs>
        <w:spacing w:after="0" w:line="240" w:lineRule="auto"/>
        <w:ind w:left="284" w:hanging="284"/>
        <w:jc w:val="both"/>
      </w:pPr>
      <w:r>
        <w:rPr>
          <w:rStyle w:val="FootnoteReference"/>
        </w:rPr>
        <w:footnoteRef/>
      </w:r>
      <w:r>
        <w:t xml:space="preserve"> </w:t>
      </w:r>
      <w:r>
        <w:tab/>
        <w:t>Règlement (UE, Euratom) nº 883/2013 du Parlement européen et du Conseil du 11 septembre 2013 relatif aux enquêtes effectuées par l’Office européen de lutte antifraude (OLAF).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20435" w14:textId="77777777" w:rsidR="0079062E" w:rsidRDefault="007906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6EA09" w14:textId="77777777" w:rsidR="00455B9B" w:rsidRDefault="00455B9B" w:rsidP="001C2768">
    <w:pPr>
      <w:pStyle w:val="Header"/>
      <w:spacing w:after="0"/>
      <w:rPr>
        <w:sz w:val="18"/>
        <w:szCs w:val="18"/>
      </w:rPr>
    </w:pPr>
    <w:r>
      <w:rPr>
        <w:sz w:val="18"/>
        <w:szCs w:val="18"/>
      </w:rPr>
      <w:t>Convention nº: [compléter]</w:t>
    </w:r>
    <w:r>
      <w:tab/>
    </w:r>
    <w:r>
      <w:tab/>
    </w:r>
  </w:p>
  <w:p w14:paraId="3BBB8DB6" w14:textId="3DE599DA" w:rsidR="00455B9B" w:rsidRPr="00192D0E" w:rsidRDefault="00455B9B" w:rsidP="001C2768">
    <w:pPr>
      <w:pStyle w:val="Header"/>
      <w:jc w:val="right"/>
      <w:rPr>
        <w:sz w:val="18"/>
        <w:szCs w:val="18"/>
      </w:rPr>
    </w:pPr>
    <w:r>
      <w:rPr>
        <w:sz w:val="18"/>
        <w:szCs w:val="18"/>
      </w:rPr>
      <w:t>Modèle de convention de subvention monobénéficiaire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6F55A" w14:textId="77777777" w:rsidR="0079062E" w:rsidRDefault="007906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F8941" w14:textId="77777777" w:rsidR="00455B9B" w:rsidRPr="00192D0E" w:rsidRDefault="00455B9B" w:rsidP="00BB52CD">
    <w:pPr>
      <w:pStyle w:val="Header"/>
      <w:jc w:val="right"/>
      <w:rPr>
        <w:sz w:val="18"/>
        <w:szCs w:val="18"/>
      </w:rPr>
    </w:pPr>
    <w:r>
      <w:rPr>
        <w:sz w:val="18"/>
      </w:rPr>
      <w:t>Convention nº: [compléter]</w:t>
    </w:r>
    <w:r>
      <w:tab/>
    </w:r>
    <w:r>
      <w:tab/>
    </w:r>
  </w:p>
  <w:p w14:paraId="56E809DF" w14:textId="77777777" w:rsidR="00455B9B" w:rsidRPr="00192D0E" w:rsidRDefault="00455B9B" w:rsidP="00BB52CD">
    <w:pPr>
      <w:pStyle w:val="Header"/>
      <w:jc w:val="right"/>
      <w:rPr>
        <w:sz w:val="18"/>
        <w:szCs w:val="18"/>
      </w:rPr>
    </w:pPr>
    <w:r>
      <w:rPr>
        <w:sz w:val="18"/>
        <w:szCs w:val="18"/>
      </w:rPr>
      <w:t>Modèle de convention de subvention monobénéficiaire</w:t>
    </w:r>
  </w:p>
  <w:p w14:paraId="3BBB8DB9" w14:textId="318BA52A" w:rsidR="00455B9B" w:rsidRDefault="00455B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7F0E"/>
    <w:multiLevelType w:val="hybridMultilevel"/>
    <w:tmpl w:val="EFE2543E"/>
    <w:lvl w:ilvl="0" w:tplc="2CD07722">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285AA0"/>
    <w:multiLevelType w:val="hybridMultilevel"/>
    <w:tmpl w:val="334E7FE0"/>
    <w:lvl w:ilvl="0" w:tplc="9EB27D7A">
      <w:start w:val="1"/>
      <w:numFmt w:val="lowerLetter"/>
      <w:lvlText w:val="%1)"/>
      <w:lvlJc w:val="left"/>
      <w:pPr>
        <w:ind w:left="854" w:hanging="570"/>
      </w:pPr>
      <w:rPr>
        <w:rFonts w:eastAsia="Calibr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2AF2DEC"/>
    <w:multiLevelType w:val="hybridMultilevel"/>
    <w:tmpl w:val="F61EA1E0"/>
    <w:lvl w:ilvl="0" w:tplc="8D4E9064">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C538EE"/>
    <w:multiLevelType w:val="hybridMultilevel"/>
    <w:tmpl w:val="79B2FF8A"/>
    <w:lvl w:ilvl="0" w:tplc="85F44E24">
      <w:start w:val="2"/>
      <w:numFmt w:val="bullet"/>
      <w:lvlText w:val="-"/>
      <w:lvlJc w:val="left"/>
      <w:pPr>
        <w:ind w:left="2421" w:hanging="360"/>
      </w:pPr>
      <w:rPr>
        <w:rFonts w:ascii="Calibri" w:eastAsia="Calibri" w:hAnsi="Calibri" w:cs="Calibri" w:hint="default"/>
      </w:rPr>
    </w:lvl>
    <w:lvl w:ilvl="1" w:tplc="080C0003" w:tentative="1">
      <w:start w:val="1"/>
      <w:numFmt w:val="bullet"/>
      <w:lvlText w:val="o"/>
      <w:lvlJc w:val="left"/>
      <w:pPr>
        <w:ind w:left="3141" w:hanging="360"/>
      </w:pPr>
      <w:rPr>
        <w:rFonts w:ascii="Courier New" w:hAnsi="Courier New" w:cs="Courier New" w:hint="default"/>
      </w:rPr>
    </w:lvl>
    <w:lvl w:ilvl="2" w:tplc="080C0005" w:tentative="1">
      <w:start w:val="1"/>
      <w:numFmt w:val="bullet"/>
      <w:lvlText w:val=""/>
      <w:lvlJc w:val="left"/>
      <w:pPr>
        <w:ind w:left="3861" w:hanging="360"/>
      </w:pPr>
      <w:rPr>
        <w:rFonts w:ascii="Wingdings" w:hAnsi="Wingdings" w:hint="default"/>
      </w:rPr>
    </w:lvl>
    <w:lvl w:ilvl="3" w:tplc="080C0001" w:tentative="1">
      <w:start w:val="1"/>
      <w:numFmt w:val="bullet"/>
      <w:lvlText w:val=""/>
      <w:lvlJc w:val="left"/>
      <w:pPr>
        <w:ind w:left="4581" w:hanging="360"/>
      </w:pPr>
      <w:rPr>
        <w:rFonts w:ascii="Symbol" w:hAnsi="Symbol" w:hint="default"/>
      </w:rPr>
    </w:lvl>
    <w:lvl w:ilvl="4" w:tplc="080C0003" w:tentative="1">
      <w:start w:val="1"/>
      <w:numFmt w:val="bullet"/>
      <w:lvlText w:val="o"/>
      <w:lvlJc w:val="left"/>
      <w:pPr>
        <w:ind w:left="5301" w:hanging="360"/>
      </w:pPr>
      <w:rPr>
        <w:rFonts w:ascii="Courier New" w:hAnsi="Courier New" w:cs="Courier New" w:hint="default"/>
      </w:rPr>
    </w:lvl>
    <w:lvl w:ilvl="5" w:tplc="080C0005" w:tentative="1">
      <w:start w:val="1"/>
      <w:numFmt w:val="bullet"/>
      <w:lvlText w:val=""/>
      <w:lvlJc w:val="left"/>
      <w:pPr>
        <w:ind w:left="6021" w:hanging="360"/>
      </w:pPr>
      <w:rPr>
        <w:rFonts w:ascii="Wingdings" w:hAnsi="Wingdings" w:hint="default"/>
      </w:rPr>
    </w:lvl>
    <w:lvl w:ilvl="6" w:tplc="080C0001" w:tentative="1">
      <w:start w:val="1"/>
      <w:numFmt w:val="bullet"/>
      <w:lvlText w:val=""/>
      <w:lvlJc w:val="left"/>
      <w:pPr>
        <w:ind w:left="6741" w:hanging="360"/>
      </w:pPr>
      <w:rPr>
        <w:rFonts w:ascii="Symbol" w:hAnsi="Symbol" w:hint="default"/>
      </w:rPr>
    </w:lvl>
    <w:lvl w:ilvl="7" w:tplc="080C0003" w:tentative="1">
      <w:start w:val="1"/>
      <w:numFmt w:val="bullet"/>
      <w:lvlText w:val="o"/>
      <w:lvlJc w:val="left"/>
      <w:pPr>
        <w:ind w:left="7461" w:hanging="360"/>
      </w:pPr>
      <w:rPr>
        <w:rFonts w:ascii="Courier New" w:hAnsi="Courier New" w:cs="Courier New" w:hint="default"/>
      </w:rPr>
    </w:lvl>
    <w:lvl w:ilvl="8" w:tplc="080C0005" w:tentative="1">
      <w:start w:val="1"/>
      <w:numFmt w:val="bullet"/>
      <w:lvlText w:val=""/>
      <w:lvlJc w:val="left"/>
      <w:pPr>
        <w:ind w:left="8181" w:hanging="360"/>
      </w:pPr>
      <w:rPr>
        <w:rFonts w:ascii="Wingdings" w:hAnsi="Wingdings" w:hint="default"/>
      </w:rPr>
    </w:lvl>
  </w:abstractNum>
  <w:abstractNum w:abstractNumId="4"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57A47F2"/>
    <w:multiLevelType w:val="hybridMultilevel"/>
    <w:tmpl w:val="2BB42580"/>
    <w:lvl w:ilvl="0" w:tplc="23BC6B82">
      <w:start w:val="1"/>
      <w:numFmt w:val="lowerLetter"/>
      <w:lvlText w:val="%1)"/>
      <w:lvlJc w:val="left"/>
      <w:pPr>
        <w:ind w:left="1320" w:hanging="360"/>
      </w:pPr>
      <w:rPr>
        <w:rFonts w:ascii="Times New Roman" w:eastAsia="Calibri" w:hAnsi="Times New Roman" w:cs="Times New Roman"/>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6" w15:restartNumberingAfterBreak="0">
    <w:nsid w:val="077B171E"/>
    <w:multiLevelType w:val="hybridMultilevel"/>
    <w:tmpl w:val="158AB2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FA7B02"/>
    <w:multiLevelType w:val="hybridMultilevel"/>
    <w:tmpl w:val="AA46F26A"/>
    <w:lvl w:ilvl="0" w:tplc="66900E70">
      <w:start w:val="1"/>
      <w:numFmt w:val="lowerRoman"/>
      <w:lvlText w:val="%1)"/>
      <w:lvlJc w:val="left"/>
      <w:pPr>
        <w:ind w:left="720" w:hanging="360"/>
      </w:pPr>
      <w:rPr>
        <w:rFonts w:ascii="Times New Roman" w:eastAsia="Calibri" w:hAnsi="Times New Roman" w:cs="Times New Roman"/>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AC3189B"/>
    <w:multiLevelType w:val="hybridMultilevel"/>
    <w:tmpl w:val="5672BC1E"/>
    <w:lvl w:ilvl="0" w:tplc="6EA2B612">
      <w:start w:val="1"/>
      <w:numFmt w:val="lowerRoman"/>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7704EF"/>
    <w:multiLevelType w:val="hybridMultilevel"/>
    <w:tmpl w:val="F99C5EBC"/>
    <w:lvl w:ilvl="0" w:tplc="E8686C6C">
      <w:start w:val="1"/>
      <w:numFmt w:val="lowerRoman"/>
      <w:lvlText w:val="%1)"/>
      <w:lvlJc w:val="left"/>
      <w:pPr>
        <w:ind w:left="1320" w:hanging="360"/>
      </w:pPr>
      <w:rPr>
        <w:rFonts w:ascii="Times New Roman" w:eastAsia="Calibri" w:hAnsi="Times New Roman" w:cs="Times New Roman"/>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10" w15:restartNumberingAfterBreak="0">
    <w:nsid w:val="0BCA071B"/>
    <w:multiLevelType w:val="hybridMultilevel"/>
    <w:tmpl w:val="5ACCB15C"/>
    <w:lvl w:ilvl="0" w:tplc="8B1ACCBA">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CC106D0"/>
    <w:multiLevelType w:val="hybridMultilevel"/>
    <w:tmpl w:val="4C281514"/>
    <w:lvl w:ilvl="0" w:tplc="11C4C890">
      <w:start w:val="1"/>
      <w:numFmt w:val="lowerRoman"/>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08C0461"/>
    <w:multiLevelType w:val="hybridMultilevel"/>
    <w:tmpl w:val="CA3CE568"/>
    <w:lvl w:ilvl="0" w:tplc="6C4E7138">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29639D"/>
    <w:multiLevelType w:val="hybridMultilevel"/>
    <w:tmpl w:val="F2C067A0"/>
    <w:lvl w:ilvl="0" w:tplc="DABCDB74">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5" w15:restartNumberingAfterBreak="0">
    <w:nsid w:val="14176743"/>
    <w:multiLevelType w:val="hybridMultilevel"/>
    <w:tmpl w:val="31B426C2"/>
    <w:lvl w:ilvl="0" w:tplc="5D26F53A">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7" w15:restartNumberingAfterBreak="0">
    <w:nsid w:val="18FC230D"/>
    <w:multiLevelType w:val="hybridMultilevel"/>
    <w:tmpl w:val="4BB6DF3A"/>
    <w:lvl w:ilvl="0" w:tplc="6FE4E348">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E1E2ED9"/>
    <w:multiLevelType w:val="hybridMultilevel"/>
    <w:tmpl w:val="00B45908"/>
    <w:lvl w:ilvl="0" w:tplc="B582D2C8">
      <w:start w:val="1"/>
      <w:numFmt w:val="lowerLetter"/>
      <w:lvlText w:val="%1)"/>
      <w:lvlJc w:val="left"/>
      <w:pPr>
        <w:ind w:left="2443" w:hanging="360"/>
      </w:pPr>
      <w:rPr>
        <w:rFonts w:hint="default"/>
      </w:rPr>
    </w:lvl>
    <w:lvl w:ilvl="1" w:tplc="04090019" w:tentative="1">
      <w:start w:val="1"/>
      <w:numFmt w:val="lowerLetter"/>
      <w:lvlText w:val="%2."/>
      <w:lvlJc w:val="left"/>
      <w:pPr>
        <w:ind w:left="3163" w:hanging="360"/>
      </w:pPr>
    </w:lvl>
    <w:lvl w:ilvl="2" w:tplc="0409001B" w:tentative="1">
      <w:start w:val="1"/>
      <w:numFmt w:val="lowerRoman"/>
      <w:lvlText w:val="%3."/>
      <w:lvlJc w:val="right"/>
      <w:pPr>
        <w:ind w:left="3883" w:hanging="180"/>
      </w:pPr>
    </w:lvl>
    <w:lvl w:ilvl="3" w:tplc="0409000F" w:tentative="1">
      <w:start w:val="1"/>
      <w:numFmt w:val="decimal"/>
      <w:lvlText w:val="%4."/>
      <w:lvlJc w:val="left"/>
      <w:pPr>
        <w:ind w:left="4603" w:hanging="360"/>
      </w:pPr>
    </w:lvl>
    <w:lvl w:ilvl="4" w:tplc="04090019" w:tentative="1">
      <w:start w:val="1"/>
      <w:numFmt w:val="lowerLetter"/>
      <w:lvlText w:val="%5."/>
      <w:lvlJc w:val="left"/>
      <w:pPr>
        <w:ind w:left="5323" w:hanging="360"/>
      </w:pPr>
    </w:lvl>
    <w:lvl w:ilvl="5" w:tplc="0409001B" w:tentative="1">
      <w:start w:val="1"/>
      <w:numFmt w:val="lowerRoman"/>
      <w:lvlText w:val="%6."/>
      <w:lvlJc w:val="right"/>
      <w:pPr>
        <w:ind w:left="6043" w:hanging="180"/>
      </w:pPr>
    </w:lvl>
    <w:lvl w:ilvl="6" w:tplc="0409000F" w:tentative="1">
      <w:start w:val="1"/>
      <w:numFmt w:val="decimal"/>
      <w:lvlText w:val="%7."/>
      <w:lvlJc w:val="left"/>
      <w:pPr>
        <w:ind w:left="6763" w:hanging="360"/>
      </w:pPr>
    </w:lvl>
    <w:lvl w:ilvl="7" w:tplc="04090019" w:tentative="1">
      <w:start w:val="1"/>
      <w:numFmt w:val="lowerLetter"/>
      <w:lvlText w:val="%8."/>
      <w:lvlJc w:val="left"/>
      <w:pPr>
        <w:ind w:left="7483" w:hanging="360"/>
      </w:pPr>
    </w:lvl>
    <w:lvl w:ilvl="8" w:tplc="0409001B" w:tentative="1">
      <w:start w:val="1"/>
      <w:numFmt w:val="lowerRoman"/>
      <w:lvlText w:val="%9."/>
      <w:lvlJc w:val="right"/>
      <w:pPr>
        <w:ind w:left="8203" w:hanging="180"/>
      </w:pPr>
    </w:lvl>
  </w:abstractNum>
  <w:abstractNum w:abstractNumId="19" w15:restartNumberingAfterBreak="0">
    <w:nsid w:val="22317B92"/>
    <w:multiLevelType w:val="hybridMultilevel"/>
    <w:tmpl w:val="B07895C8"/>
    <w:lvl w:ilvl="0" w:tplc="B1C69FAE">
      <w:start w:val="1"/>
      <w:numFmt w:val="lowerRoman"/>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1" w15:restartNumberingAfterBreak="0">
    <w:nsid w:val="24B26F46"/>
    <w:multiLevelType w:val="hybridMultilevel"/>
    <w:tmpl w:val="3E8AB99A"/>
    <w:lvl w:ilvl="0" w:tplc="E17CD5C8">
      <w:start w:val="1"/>
      <w:numFmt w:val="lowerRoman"/>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6BA6E5F"/>
    <w:multiLevelType w:val="hybridMultilevel"/>
    <w:tmpl w:val="A2169914"/>
    <w:lvl w:ilvl="0" w:tplc="0C1AA89E">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8B96AC3"/>
    <w:multiLevelType w:val="hybridMultilevel"/>
    <w:tmpl w:val="5E6273F8"/>
    <w:lvl w:ilvl="0" w:tplc="6AFE2E58">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25" w15:restartNumberingAfterBreak="0">
    <w:nsid w:val="2EC033F1"/>
    <w:multiLevelType w:val="hybridMultilevel"/>
    <w:tmpl w:val="173824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C04A76"/>
    <w:multiLevelType w:val="hybridMultilevel"/>
    <w:tmpl w:val="0E425C7C"/>
    <w:lvl w:ilvl="0" w:tplc="9C1C89F8">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1A70C47"/>
    <w:multiLevelType w:val="hybridMultilevel"/>
    <w:tmpl w:val="2B6C335E"/>
    <w:lvl w:ilvl="0" w:tplc="1F6CCC62">
      <w:start w:val="1"/>
      <w:numFmt w:val="lowerLetter"/>
      <w:lvlText w:val="%1)"/>
      <w:lvlJc w:val="left"/>
      <w:pPr>
        <w:ind w:left="720" w:hanging="360"/>
      </w:pPr>
      <w:rPr>
        <w:rFonts w:ascii="Times New Roman" w:eastAsia="Calibri" w:hAnsi="Times New Roman" w:cs="Times New Roman"/>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3200290"/>
    <w:multiLevelType w:val="hybridMultilevel"/>
    <w:tmpl w:val="22EADF0E"/>
    <w:lvl w:ilvl="0" w:tplc="C4963AB4">
      <w:start w:val="1"/>
      <w:numFmt w:val="lowerRoman"/>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65B71BF"/>
    <w:multiLevelType w:val="hybridMultilevel"/>
    <w:tmpl w:val="21868ED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223101"/>
    <w:multiLevelType w:val="hybridMultilevel"/>
    <w:tmpl w:val="B64643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2" w15:restartNumberingAfterBreak="0">
    <w:nsid w:val="3A8C5DB3"/>
    <w:multiLevelType w:val="hybridMultilevel"/>
    <w:tmpl w:val="4F221FFC"/>
    <w:lvl w:ilvl="0" w:tplc="4D7A979C">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D1759D2"/>
    <w:multiLevelType w:val="hybridMultilevel"/>
    <w:tmpl w:val="BD16680E"/>
    <w:lvl w:ilvl="0" w:tplc="7AEAE9E2">
      <w:start w:val="1"/>
      <w:numFmt w:val="lowerLetter"/>
      <w:lvlText w:val="%1)"/>
      <w:lvlJc w:val="left"/>
      <w:pPr>
        <w:ind w:left="1080" w:hanging="360"/>
      </w:pPr>
      <w:rPr>
        <w:rFonts w:ascii="Times New Roman" w:eastAsia="Calibri"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3D371558"/>
    <w:multiLevelType w:val="hybridMultilevel"/>
    <w:tmpl w:val="2AF09484"/>
    <w:lvl w:ilvl="0" w:tplc="0FA4596E">
      <w:start w:val="1"/>
      <w:numFmt w:val="lowerRoman"/>
      <w:lvlText w:val="%1)"/>
      <w:lvlJc w:val="left"/>
      <w:pPr>
        <w:ind w:left="1211" w:hanging="360"/>
      </w:pPr>
      <w:rPr>
        <w:rFonts w:ascii="Times New Roman" w:eastAsia="Calibri" w:hAnsi="Times New Roman" w:cs="Times New Roman"/>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5" w15:restartNumberingAfterBreak="0">
    <w:nsid w:val="424E6701"/>
    <w:multiLevelType w:val="hybridMultilevel"/>
    <w:tmpl w:val="69AC5C0A"/>
    <w:lvl w:ilvl="0" w:tplc="6E86A960">
      <w:start w:val="1"/>
      <w:numFmt w:val="lowerRoman"/>
      <w:lvlText w:val="%1)"/>
      <w:lvlJc w:val="left"/>
      <w:pPr>
        <w:ind w:left="927" w:hanging="360"/>
      </w:pPr>
      <w:rPr>
        <w:rFonts w:ascii="Times New Roman" w:eastAsia="Calibri" w:hAnsi="Times New Roman" w:cs="Times New Roman"/>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6"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42917EAC"/>
    <w:multiLevelType w:val="hybridMultilevel"/>
    <w:tmpl w:val="7AB4CE94"/>
    <w:lvl w:ilvl="0" w:tplc="95EA99B2">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2A32608"/>
    <w:multiLevelType w:val="hybridMultilevel"/>
    <w:tmpl w:val="5366095C"/>
    <w:lvl w:ilvl="0" w:tplc="626A12A6">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2E22311"/>
    <w:multiLevelType w:val="hybridMultilevel"/>
    <w:tmpl w:val="107019F0"/>
    <w:lvl w:ilvl="0" w:tplc="84C05130">
      <w:start w:val="1"/>
      <w:numFmt w:val="lowerRoman"/>
      <w:lvlText w:val="%1)"/>
      <w:lvlJc w:val="left"/>
      <w:pPr>
        <w:ind w:left="720" w:hanging="360"/>
      </w:pPr>
      <w:rPr>
        <w:rFonts w:ascii="Times New Roman" w:eastAsia="Calibri" w:hAnsi="Times New Roman" w:cs="Times New Roman"/>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46D9402B"/>
    <w:multiLevelType w:val="hybridMultilevel"/>
    <w:tmpl w:val="15304402"/>
    <w:lvl w:ilvl="0" w:tplc="761CA446">
      <w:start w:val="1"/>
      <w:numFmt w:val="lowerRoman"/>
      <w:lvlText w:val="%1)"/>
      <w:lvlJc w:val="left"/>
      <w:pPr>
        <w:ind w:left="1854" w:hanging="360"/>
      </w:pPr>
      <w:rPr>
        <w:rFonts w:ascii="Times New Roman" w:eastAsia="Calibri" w:hAnsi="Times New Roman" w:cs="Times New Roman"/>
      </w:r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43" w15:restartNumberingAfterBreak="0">
    <w:nsid w:val="47415D2B"/>
    <w:multiLevelType w:val="hybridMultilevel"/>
    <w:tmpl w:val="F3EA0AE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8547FC0"/>
    <w:multiLevelType w:val="hybridMultilevel"/>
    <w:tmpl w:val="4CC0D13A"/>
    <w:lvl w:ilvl="0" w:tplc="4A2026D6">
      <w:start w:val="1"/>
      <w:numFmt w:val="lowerRoman"/>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8733AE1"/>
    <w:multiLevelType w:val="hybridMultilevel"/>
    <w:tmpl w:val="C0D40190"/>
    <w:lvl w:ilvl="0" w:tplc="4B020F7E">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49E055FC"/>
    <w:multiLevelType w:val="hybridMultilevel"/>
    <w:tmpl w:val="20B4FDF6"/>
    <w:lvl w:ilvl="0" w:tplc="7034DA5A">
      <w:start w:val="1"/>
      <w:numFmt w:val="lowerLetter"/>
      <w:lvlText w:val="%1)"/>
      <w:lvlJc w:val="left"/>
      <w:pPr>
        <w:ind w:left="1211" w:hanging="360"/>
      </w:pPr>
      <w:rPr>
        <w:rFonts w:ascii="Times New Roman" w:eastAsia="Calibri" w:hAnsi="Times New Roman" w:cs="Times New Roman"/>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8" w15:restartNumberingAfterBreak="0">
    <w:nsid w:val="4A061FC3"/>
    <w:multiLevelType w:val="hybridMultilevel"/>
    <w:tmpl w:val="E722B26C"/>
    <w:lvl w:ilvl="0" w:tplc="57BA0110">
      <w:start w:val="1"/>
      <w:numFmt w:val="lowerLetter"/>
      <w:lvlText w:val="%1)"/>
      <w:lvlJc w:val="left"/>
      <w:pPr>
        <w:ind w:left="720" w:hanging="360"/>
      </w:pPr>
      <w:rPr>
        <w:rFonts w:ascii="Times New Roman" w:eastAsia="Calibri" w:hAnsi="Times New Roman" w:cs="Times New Roman"/>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D494203"/>
    <w:multiLevelType w:val="hybridMultilevel"/>
    <w:tmpl w:val="D716E81A"/>
    <w:lvl w:ilvl="0" w:tplc="4A24D532">
      <w:start w:val="1"/>
      <w:numFmt w:val="lowerRoman"/>
      <w:lvlText w:val="(%1)"/>
      <w:lvlJc w:val="left"/>
      <w:pPr>
        <w:ind w:left="720" w:hanging="360"/>
      </w:pPr>
      <w:rPr>
        <w:rFonts w:hint="default"/>
      </w:rPr>
    </w:lvl>
    <w:lvl w:ilvl="1" w:tplc="4CB8A8FA">
      <w:start w:val="1"/>
      <w:numFmt w:val="lowerRoman"/>
      <w:lvlText w:val="%2)"/>
      <w:lvlJc w:val="left"/>
      <w:pPr>
        <w:ind w:left="1800" w:hanging="720"/>
      </w:pPr>
      <w:rPr>
        <w:rFonts w:ascii="Times New Roman" w:eastAsia="Calibri" w:hAnsi="Times New Roman" w:cs="Times New Roman"/>
      </w:rPr>
    </w:lvl>
    <w:lvl w:ilvl="2" w:tplc="C4129C0A">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E8B71CF"/>
    <w:multiLevelType w:val="hybridMultilevel"/>
    <w:tmpl w:val="C81666EC"/>
    <w:lvl w:ilvl="0" w:tplc="E750A09A">
      <w:start w:val="1"/>
      <w:numFmt w:val="lowerRoman"/>
      <w:lvlText w:val="%1)"/>
      <w:lvlJc w:val="left"/>
      <w:pPr>
        <w:ind w:left="720" w:hanging="360"/>
      </w:pPr>
      <w:rPr>
        <w:rFonts w:ascii="Times New Roman" w:eastAsia="Calibri" w:hAnsi="Times New Roman" w:cs="Times New Roman"/>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1B720EA"/>
    <w:multiLevelType w:val="hybridMultilevel"/>
    <w:tmpl w:val="AEF22C9A"/>
    <w:lvl w:ilvl="0" w:tplc="8A7C4D1E">
      <w:start w:val="1"/>
      <w:numFmt w:val="lowerLetter"/>
      <w:lvlText w:val="%1)"/>
      <w:lvlJc w:val="left"/>
      <w:pPr>
        <w:ind w:left="644" w:hanging="360"/>
      </w:pPr>
      <w:rPr>
        <w:rFonts w:ascii="Times New Roman" w:eastAsia="Calibri"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2"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53" w15:restartNumberingAfterBreak="0">
    <w:nsid w:val="55D803E6"/>
    <w:multiLevelType w:val="hybridMultilevel"/>
    <w:tmpl w:val="DB9478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6F654A0"/>
    <w:multiLevelType w:val="hybridMultilevel"/>
    <w:tmpl w:val="717E5A9A"/>
    <w:lvl w:ilvl="0" w:tplc="1840B032">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7CF6BE9"/>
    <w:multiLevelType w:val="hybridMultilevel"/>
    <w:tmpl w:val="106EAEBA"/>
    <w:lvl w:ilvl="0" w:tplc="89120AF4">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8730AA8"/>
    <w:multiLevelType w:val="hybridMultilevel"/>
    <w:tmpl w:val="C610C9FC"/>
    <w:lvl w:ilvl="0" w:tplc="7D303A4E">
      <w:start w:val="1"/>
      <w:numFmt w:val="lowerLetter"/>
      <w:lvlText w:val="%1)"/>
      <w:lvlJc w:val="left"/>
      <w:pPr>
        <w:ind w:left="720" w:hanging="360"/>
      </w:pPr>
      <w:rPr>
        <w:rFonts w:ascii="Times New Roman" w:eastAsia="Calibri" w:hAnsi="Times New Roman"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ABB7CB2"/>
    <w:multiLevelType w:val="hybridMultilevel"/>
    <w:tmpl w:val="74C89870"/>
    <w:lvl w:ilvl="0" w:tplc="950A0D9E">
      <w:start w:val="1"/>
      <w:numFmt w:val="lowerRoman"/>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F01659F"/>
    <w:multiLevelType w:val="hybridMultilevel"/>
    <w:tmpl w:val="AE9060E0"/>
    <w:lvl w:ilvl="0" w:tplc="F55436E4">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FD366C9"/>
    <w:multiLevelType w:val="hybridMultilevel"/>
    <w:tmpl w:val="E88259D6"/>
    <w:lvl w:ilvl="0" w:tplc="2D28D6A6">
      <w:start w:val="1"/>
      <w:numFmt w:val="lowerRoman"/>
      <w:lvlText w:val="%1)"/>
      <w:lvlJc w:val="left"/>
      <w:pPr>
        <w:ind w:left="720" w:hanging="360"/>
      </w:pPr>
      <w:rPr>
        <w:rFonts w:ascii="Times New Roman" w:eastAsia="Calibri" w:hAnsi="Times New Roman" w:cs="Times New Roman"/>
      </w:rPr>
    </w:lvl>
    <w:lvl w:ilvl="1" w:tplc="CA302940">
      <w:start w:val="1"/>
      <w:numFmt w:val="lowerLetter"/>
      <w:lvlText w:val="%2)"/>
      <w:lvlJc w:val="left"/>
      <w:pPr>
        <w:ind w:left="1800" w:hanging="720"/>
      </w:pPr>
      <w:rPr>
        <w:rFonts w:ascii="Times New Roman" w:eastAsia="Calibri" w:hAnsi="Times New Roman"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2B6278B"/>
    <w:multiLevelType w:val="hybridMultilevel"/>
    <w:tmpl w:val="A4667B58"/>
    <w:lvl w:ilvl="0" w:tplc="85A0DDD6">
      <w:start w:val="1"/>
      <w:numFmt w:val="lowerLetter"/>
      <w:lvlText w:val="%1)"/>
      <w:lvlJc w:val="left"/>
      <w:pPr>
        <w:ind w:left="720" w:hanging="360"/>
      </w:pPr>
      <w:rPr>
        <w:rFonts w:ascii="Times New Roman" w:eastAsia="Calibri" w:hAnsi="Times New Roman" w:cs="Times New Roman"/>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4B668D4"/>
    <w:multiLevelType w:val="hybridMultilevel"/>
    <w:tmpl w:val="48A8E28C"/>
    <w:lvl w:ilvl="0" w:tplc="A1C8EEBC">
      <w:start w:val="1"/>
      <w:numFmt w:val="lowerLetter"/>
      <w:lvlText w:val="%1)"/>
      <w:lvlJc w:val="left"/>
      <w:pPr>
        <w:ind w:left="1440" w:hanging="360"/>
      </w:pPr>
      <w:rPr>
        <w:rFonts w:ascii="Times New Roman" w:eastAsia="Calibri" w:hAnsi="Times New Roman" w:cs="Times New Roman"/>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2" w15:restartNumberingAfterBreak="0">
    <w:nsid w:val="65442E6E"/>
    <w:multiLevelType w:val="hybridMultilevel"/>
    <w:tmpl w:val="BCF6A040"/>
    <w:lvl w:ilvl="0" w:tplc="85F44E24">
      <w:start w:val="2"/>
      <w:numFmt w:val="bullet"/>
      <w:lvlText w:val="-"/>
      <w:lvlJc w:val="left"/>
      <w:pPr>
        <w:ind w:left="2138" w:hanging="360"/>
      </w:pPr>
      <w:rPr>
        <w:rFonts w:ascii="Calibri" w:eastAsia="Calibri" w:hAnsi="Calibri" w:cs="Calibri" w:hint="default"/>
      </w:rPr>
    </w:lvl>
    <w:lvl w:ilvl="1" w:tplc="080C0003" w:tentative="1">
      <w:start w:val="1"/>
      <w:numFmt w:val="bullet"/>
      <w:lvlText w:val="o"/>
      <w:lvlJc w:val="left"/>
      <w:pPr>
        <w:ind w:left="2858" w:hanging="360"/>
      </w:pPr>
      <w:rPr>
        <w:rFonts w:ascii="Courier New" w:hAnsi="Courier New" w:cs="Courier New" w:hint="default"/>
      </w:rPr>
    </w:lvl>
    <w:lvl w:ilvl="2" w:tplc="080C0005" w:tentative="1">
      <w:start w:val="1"/>
      <w:numFmt w:val="bullet"/>
      <w:lvlText w:val=""/>
      <w:lvlJc w:val="left"/>
      <w:pPr>
        <w:ind w:left="3578" w:hanging="360"/>
      </w:pPr>
      <w:rPr>
        <w:rFonts w:ascii="Wingdings" w:hAnsi="Wingdings" w:hint="default"/>
      </w:rPr>
    </w:lvl>
    <w:lvl w:ilvl="3" w:tplc="080C0001" w:tentative="1">
      <w:start w:val="1"/>
      <w:numFmt w:val="bullet"/>
      <w:lvlText w:val=""/>
      <w:lvlJc w:val="left"/>
      <w:pPr>
        <w:ind w:left="4298" w:hanging="360"/>
      </w:pPr>
      <w:rPr>
        <w:rFonts w:ascii="Symbol" w:hAnsi="Symbol" w:hint="default"/>
      </w:rPr>
    </w:lvl>
    <w:lvl w:ilvl="4" w:tplc="85F44E24">
      <w:start w:val="2"/>
      <w:numFmt w:val="bullet"/>
      <w:lvlText w:val="-"/>
      <w:lvlJc w:val="left"/>
      <w:pPr>
        <w:ind w:left="5018" w:hanging="360"/>
      </w:pPr>
      <w:rPr>
        <w:rFonts w:ascii="Calibri" w:eastAsia="Calibri" w:hAnsi="Calibri" w:cs="Calibri" w:hint="default"/>
      </w:rPr>
    </w:lvl>
    <w:lvl w:ilvl="5" w:tplc="080C0005" w:tentative="1">
      <w:start w:val="1"/>
      <w:numFmt w:val="bullet"/>
      <w:lvlText w:val=""/>
      <w:lvlJc w:val="left"/>
      <w:pPr>
        <w:ind w:left="5738" w:hanging="360"/>
      </w:pPr>
      <w:rPr>
        <w:rFonts w:ascii="Wingdings" w:hAnsi="Wingdings" w:hint="default"/>
      </w:rPr>
    </w:lvl>
    <w:lvl w:ilvl="6" w:tplc="080C0001" w:tentative="1">
      <w:start w:val="1"/>
      <w:numFmt w:val="bullet"/>
      <w:lvlText w:val=""/>
      <w:lvlJc w:val="left"/>
      <w:pPr>
        <w:ind w:left="6458" w:hanging="360"/>
      </w:pPr>
      <w:rPr>
        <w:rFonts w:ascii="Symbol" w:hAnsi="Symbol" w:hint="default"/>
      </w:rPr>
    </w:lvl>
    <w:lvl w:ilvl="7" w:tplc="080C0003" w:tentative="1">
      <w:start w:val="1"/>
      <w:numFmt w:val="bullet"/>
      <w:lvlText w:val="o"/>
      <w:lvlJc w:val="left"/>
      <w:pPr>
        <w:ind w:left="7178" w:hanging="360"/>
      </w:pPr>
      <w:rPr>
        <w:rFonts w:ascii="Courier New" w:hAnsi="Courier New" w:cs="Courier New" w:hint="default"/>
      </w:rPr>
    </w:lvl>
    <w:lvl w:ilvl="8" w:tplc="080C0005" w:tentative="1">
      <w:start w:val="1"/>
      <w:numFmt w:val="bullet"/>
      <w:lvlText w:val=""/>
      <w:lvlJc w:val="left"/>
      <w:pPr>
        <w:ind w:left="7898" w:hanging="360"/>
      </w:pPr>
      <w:rPr>
        <w:rFonts w:ascii="Wingdings" w:hAnsi="Wingdings" w:hint="default"/>
      </w:rPr>
    </w:lvl>
  </w:abstractNum>
  <w:abstractNum w:abstractNumId="63" w15:restartNumberingAfterBreak="0">
    <w:nsid w:val="654A1CAC"/>
    <w:multiLevelType w:val="hybridMultilevel"/>
    <w:tmpl w:val="04E2BEBA"/>
    <w:lvl w:ilvl="0" w:tplc="86C81E82">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5C20F49"/>
    <w:multiLevelType w:val="hybridMultilevel"/>
    <w:tmpl w:val="317E3A78"/>
    <w:lvl w:ilvl="0" w:tplc="6AB4E98A">
      <w:start w:val="1"/>
      <w:numFmt w:val="lowerRoman"/>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5E84609"/>
    <w:multiLevelType w:val="hybridMultilevel"/>
    <w:tmpl w:val="BE928684"/>
    <w:lvl w:ilvl="0" w:tplc="E00E3C96">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6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68" w15:restartNumberingAfterBreak="0">
    <w:nsid w:val="6A32567A"/>
    <w:multiLevelType w:val="hybridMultilevel"/>
    <w:tmpl w:val="D3D66BDE"/>
    <w:lvl w:ilvl="0" w:tplc="BB1E25FC">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C6529B2"/>
    <w:multiLevelType w:val="hybridMultilevel"/>
    <w:tmpl w:val="735E45E8"/>
    <w:lvl w:ilvl="0" w:tplc="524C96A4">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DF51693"/>
    <w:multiLevelType w:val="hybridMultilevel"/>
    <w:tmpl w:val="03682D32"/>
    <w:lvl w:ilvl="0" w:tplc="305ED1C8">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72" w15:restartNumberingAfterBreak="0">
    <w:nsid w:val="702D4D09"/>
    <w:multiLevelType w:val="hybridMultilevel"/>
    <w:tmpl w:val="59AC8848"/>
    <w:lvl w:ilvl="0" w:tplc="B3DA4F68">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702F7E66"/>
    <w:multiLevelType w:val="hybridMultilevel"/>
    <w:tmpl w:val="C79E71CA"/>
    <w:lvl w:ilvl="0" w:tplc="D89423DC">
      <w:start w:val="1"/>
      <w:numFmt w:val="lowerRoman"/>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1D72855"/>
    <w:multiLevelType w:val="hybridMultilevel"/>
    <w:tmpl w:val="DD7A4F44"/>
    <w:lvl w:ilvl="0" w:tplc="7A905278">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5146312"/>
    <w:multiLevelType w:val="hybridMultilevel"/>
    <w:tmpl w:val="DB92F876"/>
    <w:lvl w:ilvl="0" w:tplc="6E1EF81A">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6834DDF"/>
    <w:multiLevelType w:val="hybridMultilevel"/>
    <w:tmpl w:val="B38EE6CA"/>
    <w:lvl w:ilvl="0" w:tplc="77B85ED6">
      <w:start w:val="1"/>
      <w:numFmt w:val="lowerRoman"/>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7F668AB"/>
    <w:multiLevelType w:val="hybridMultilevel"/>
    <w:tmpl w:val="F6E42BDE"/>
    <w:lvl w:ilvl="0" w:tplc="76C03FA2">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F99776F"/>
    <w:multiLevelType w:val="hybridMultilevel"/>
    <w:tmpl w:val="A2A88218"/>
    <w:lvl w:ilvl="0" w:tplc="51F20C02">
      <w:start w:val="1"/>
      <w:numFmt w:val="lowerRoman"/>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FB0689A"/>
    <w:multiLevelType w:val="hybridMultilevel"/>
    <w:tmpl w:val="5F2EC294"/>
    <w:lvl w:ilvl="0" w:tplc="1CA415A6">
      <w:start w:val="1"/>
      <w:numFmt w:val="lowerRoman"/>
      <w:lvlText w:val="%1)"/>
      <w:lvlJc w:val="left"/>
      <w:pPr>
        <w:ind w:left="720" w:hanging="360"/>
      </w:pPr>
      <w:rPr>
        <w:rFonts w:ascii="Times New Roman" w:eastAsia="Calibri" w:hAnsi="Times New Roman" w:cs="Times New Roman"/>
      </w:rPr>
    </w:lvl>
    <w:lvl w:ilvl="1" w:tplc="B4A4A62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2"/>
  </w:num>
  <w:num w:numId="2">
    <w:abstractNumId w:val="31"/>
  </w:num>
  <w:num w:numId="3">
    <w:abstractNumId w:val="24"/>
  </w:num>
  <w:num w:numId="4">
    <w:abstractNumId w:val="16"/>
  </w:num>
  <w:num w:numId="5">
    <w:abstractNumId w:val="14"/>
  </w:num>
  <w:num w:numId="6">
    <w:abstractNumId w:val="67"/>
  </w:num>
  <w:num w:numId="7">
    <w:abstractNumId w:val="66"/>
  </w:num>
  <w:num w:numId="8">
    <w:abstractNumId w:val="71"/>
  </w:num>
  <w:num w:numId="9">
    <w:abstractNumId w:val="20"/>
  </w:num>
  <w:num w:numId="10">
    <w:abstractNumId w:val="36"/>
  </w:num>
  <w:num w:numId="11">
    <w:abstractNumId w:val="41"/>
  </w:num>
  <w:num w:numId="12">
    <w:abstractNumId w:val="40"/>
  </w:num>
  <w:num w:numId="13">
    <w:abstractNumId w:val="4"/>
  </w:num>
  <w:num w:numId="14">
    <w:abstractNumId w:val="46"/>
  </w:num>
  <w:num w:numId="15">
    <w:abstractNumId w:val="56"/>
  </w:num>
  <w:num w:numId="16">
    <w:abstractNumId w:val="69"/>
  </w:num>
  <w:num w:numId="17">
    <w:abstractNumId w:val="10"/>
  </w:num>
  <w:num w:numId="18">
    <w:abstractNumId w:val="51"/>
  </w:num>
  <w:num w:numId="19">
    <w:abstractNumId w:val="75"/>
  </w:num>
  <w:num w:numId="20">
    <w:abstractNumId w:val="70"/>
  </w:num>
  <w:num w:numId="21">
    <w:abstractNumId w:val="33"/>
  </w:num>
  <w:num w:numId="22">
    <w:abstractNumId w:val="47"/>
  </w:num>
  <w:num w:numId="23">
    <w:abstractNumId w:val="77"/>
  </w:num>
  <w:num w:numId="24">
    <w:abstractNumId w:val="54"/>
  </w:num>
  <w:num w:numId="25">
    <w:abstractNumId w:val="34"/>
  </w:num>
  <w:num w:numId="26">
    <w:abstractNumId w:val="17"/>
  </w:num>
  <w:num w:numId="27">
    <w:abstractNumId w:val="15"/>
  </w:num>
  <w:num w:numId="28">
    <w:abstractNumId w:val="65"/>
  </w:num>
  <w:num w:numId="29">
    <w:abstractNumId w:val="74"/>
  </w:num>
  <w:num w:numId="30">
    <w:abstractNumId w:val="58"/>
  </w:num>
  <w:num w:numId="31">
    <w:abstractNumId w:val="59"/>
  </w:num>
  <w:num w:numId="32">
    <w:abstractNumId w:val="79"/>
  </w:num>
  <w:num w:numId="33">
    <w:abstractNumId w:val="73"/>
  </w:num>
  <w:num w:numId="34">
    <w:abstractNumId w:val="38"/>
  </w:num>
  <w:num w:numId="35">
    <w:abstractNumId w:val="2"/>
  </w:num>
  <w:num w:numId="36">
    <w:abstractNumId w:val="26"/>
  </w:num>
  <w:num w:numId="37">
    <w:abstractNumId w:val="45"/>
  </w:num>
  <w:num w:numId="38">
    <w:abstractNumId w:val="63"/>
  </w:num>
  <w:num w:numId="39">
    <w:abstractNumId w:val="48"/>
  </w:num>
  <w:num w:numId="40">
    <w:abstractNumId w:val="13"/>
  </w:num>
  <w:num w:numId="41">
    <w:abstractNumId w:val="12"/>
  </w:num>
  <w:num w:numId="42">
    <w:abstractNumId w:val="37"/>
  </w:num>
  <w:num w:numId="43">
    <w:abstractNumId w:val="0"/>
  </w:num>
  <w:num w:numId="44">
    <w:abstractNumId w:val="60"/>
  </w:num>
  <w:num w:numId="45">
    <w:abstractNumId w:val="27"/>
  </w:num>
  <w:num w:numId="46">
    <w:abstractNumId w:val="57"/>
  </w:num>
  <w:num w:numId="47">
    <w:abstractNumId w:val="55"/>
  </w:num>
  <w:num w:numId="48">
    <w:abstractNumId w:val="5"/>
  </w:num>
  <w:num w:numId="49">
    <w:abstractNumId w:val="61"/>
  </w:num>
  <w:num w:numId="50">
    <w:abstractNumId w:val="68"/>
  </w:num>
  <w:num w:numId="51">
    <w:abstractNumId w:val="44"/>
  </w:num>
  <w:num w:numId="52">
    <w:abstractNumId w:val="32"/>
  </w:num>
  <w:num w:numId="53">
    <w:abstractNumId w:val="22"/>
  </w:num>
  <w:num w:numId="54">
    <w:abstractNumId w:val="23"/>
  </w:num>
  <w:num w:numId="55">
    <w:abstractNumId w:val="72"/>
  </w:num>
  <w:num w:numId="56">
    <w:abstractNumId w:val="78"/>
  </w:num>
  <w:num w:numId="57">
    <w:abstractNumId w:val="76"/>
  </w:num>
  <w:num w:numId="58">
    <w:abstractNumId w:val="64"/>
  </w:num>
  <w:num w:numId="59">
    <w:abstractNumId w:val="11"/>
  </w:num>
  <w:num w:numId="60">
    <w:abstractNumId w:val="19"/>
  </w:num>
  <w:num w:numId="61">
    <w:abstractNumId w:val="8"/>
  </w:num>
  <w:num w:numId="62">
    <w:abstractNumId w:val="21"/>
  </w:num>
  <w:num w:numId="63">
    <w:abstractNumId w:val="28"/>
  </w:num>
  <w:num w:numId="64">
    <w:abstractNumId w:val="35"/>
  </w:num>
  <w:num w:numId="65">
    <w:abstractNumId w:val="9"/>
  </w:num>
  <w:num w:numId="66">
    <w:abstractNumId w:val="50"/>
  </w:num>
  <w:num w:numId="67">
    <w:abstractNumId w:val="39"/>
  </w:num>
  <w:num w:numId="68">
    <w:abstractNumId w:val="62"/>
  </w:num>
  <w:num w:numId="69">
    <w:abstractNumId w:val="42"/>
  </w:num>
  <w:num w:numId="70">
    <w:abstractNumId w:val="7"/>
  </w:num>
  <w:num w:numId="71">
    <w:abstractNumId w:val="3"/>
  </w:num>
  <w:num w:numId="72">
    <w:abstractNumId w:val="49"/>
  </w:num>
  <w:num w:numId="73">
    <w:abstractNumId w:val="30"/>
  </w:num>
  <w:num w:numId="74">
    <w:abstractNumId w:val="6"/>
  </w:num>
  <w:num w:numId="75">
    <w:abstractNumId w:val="18"/>
  </w:num>
  <w:num w:numId="76">
    <w:abstractNumId w:val="29"/>
  </w:num>
  <w:num w:numId="77">
    <w:abstractNumId w:val="53"/>
  </w:num>
  <w:num w:numId="78">
    <w:abstractNumId w:val="1"/>
  </w:num>
  <w:num w:numId="79">
    <w:abstractNumId w:val="25"/>
  </w:num>
  <w:num w:numId="80">
    <w:abstractNumId w:val="43"/>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533DC"/>
    <w:rsid w:val="00000103"/>
    <w:rsid w:val="0000024E"/>
    <w:rsid w:val="00001754"/>
    <w:rsid w:val="00001C72"/>
    <w:rsid w:val="00001CBF"/>
    <w:rsid w:val="00001DB1"/>
    <w:rsid w:val="00001EBB"/>
    <w:rsid w:val="00001F51"/>
    <w:rsid w:val="000023D6"/>
    <w:rsid w:val="0000249A"/>
    <w:rsid w:val="0000268C"/>
    <w:rsid w:val="00002DDC"/>
    <w:rsid w:val="00003C3A"/>
    <w:rsid w:val="0000561F"/>
    <w:rsid w:val="0000589A"/>
    <w:rsid w:val="00005A41"/>
    <w:rsid w:val="00005E15"/>
    <w:rsid w:val="00010370"/>
    <w:rsid w:val="000117D2"/>
    <w:rsid w:val="0001197C"/>
    <w:rsid w:val="00012022"/>
    <w:rsid w:val="0001231E"/>
    <w:rsid w:val="00013776"/>
    <w:rsid w:val="00014311"/>
    <w:rsid w:val="000162C4"/>
    <w:rsid w:val="0002325E"/>
    <w:rsid w:val="000243AE"/>
    <w:rsid w:val="00024E2F"/>
    <w:rsid w:val="00025ECC"/>
    <w:rsid w:val="000261C5"/>
    <w:rsid w:val="00026A12"/>
    <w:rsid w:val="00030FCD"/>
    <w:rsid w:val="0003191D"/>
    <w:rsid w:val="00031DEB"/>
    <w:rsid w:val="0003387A"/>
    <w:rsid w:val="0003551E"/>
    <w:rsid w:val="000369AA"/>
    <w:rsid w:val="00036AD4"/>
    <w:rsid w:val="000379B4"/>
    <w:rsid w:val="0004019E"/>
    <w:rsid w:val="000422BA"/>
    <w:rsid w:val="00042735"/>
    <w:rsid w:val="0004325C"/>
    <w:rsid w:val="000436BC"/>
    <w:rsid w:val="00044204"/>
    <w:rsid w:val="00044431"/>
    <w:rsid w:val="00044D80"/>
    <w:rsid w:val="000450C8"/>
    <w:rsid w:val="00045EA1"/>
    <w:rsid w:val="000465B2"/>
    <w:rsid w:val="00046F35"/>
    <w:rsid w:val="000476F2"/>
    <w:rsid w:val="00050051"/>
    <w:rsid w:val="000500BF"/>
    <w:rsid w:val="00050E19"/>
    <w:rsid w:val="00050E8C"/>
    <w:rsid w:val="00051444"/>
    <w:rsid w:val="00051A91"/>
    <w:rsid w:val="00052C71"/>
    <w:rsid w:val="000531F4"/>
    <w:rsid w:val="0005386D"/>
    <w:rsid w:val="00054264"/>
    <w:rsid w:val="0005682C"/>
    <w:rsid w:val="00057E9F"/>
    <w:rsid w:val="00057F59"/>
    <w:rsid w:val="000605E3"/>
    <w:rsid w:val="00062B03"/>
    <w:rsid w:val="00063585"/>
    <w:rsid w:val="000637B3"/>
    <w:rsid w:val="00063DF8"/>
    <w:rsid w:val="00065969"/>
    <w:rsid w:val="000659F7"/>
    <w:rsid w:val="00065B43"/>
    <w:rsid w:val="00065C67"/>
    <w:rsid w:val="00066BBE"/>
    <w:rsid w:val="00066E6D"/>
    <w:rsid w:val="000673D5"/>
    <w:rsid w:val="00067BFE"/>
    <w:rsid w:val="00070876"/>
    <w:rsid w:val="00070ECF"/>
    <w:rsid w:val="00072E16"/>
    <w:rsid w:val="00072EAB"/>
    <w:rsid w:val="00074397"/>
    <w:rsid w:val="00074604"/>
    <w:rsid w:val="00075026"/>
    <w:rsid w:val="000756ED"/>
    <w:rsid w:val="00075CF5"/>
    <w:rsid w:val="00075D36"/>
    <w:rsid w:val="00075FAE"/>
    <w:rsid w:val="000761D0"/>
    <w:rsid w:val="00076B96"/>
    <w:rsid w:val="00077630"/>
    <w:rsid w:val="00077F4C"/>
    <w:rsid w:val="00080A86"/>
    <w:rsid w:val="0008222E"/>
    <w:rsid w:val="0008316D"/>
    <w:rsid w:val="000836E8"/>
    <w:rsid w:val="00083F34"/>
    <w:rsid w:val="00084813"/>
    <w:rsid w:val="00086B2C"/>
    <w:rsid w:val="00086B56"/>
    <w:rsid w:val="00087CCE"/>
    <w:rsid w:val="00090CA0"/>
    <w:rsid w:val="000924CA"/>
    <w:rsid w:val="00092A99"/>
    <w:rsid w:val="00092EAB"/>
    <w:rsid w:val="0009739B"/>
    <w:rsid w:val="00097866"/>
    <w:rsid w:val="00097EA8"/>
    <w:rsid w:val="000A195F"/>
    <w:rsid w:val="000A19A2"/>
    <w:rsid w:val="000A1EA8"/>
    <w:rsid w:val="000A22EB"/>
    <w:rsid w:val="000A2830"/>
    <w:rsid w:val="000A33E1"/>
    <w:rsid w:val="000A35E7"/>
    <w:rsid w:val="000A35E9"/>
    <w:rsid w:val="000A3A77"/>
    <w:rsid w:val="000A4A0B"/>
    <w:rsid w:val="000A5F13"/>
    <w:rsid w:val="000A6AAB"/>
    <w:rsid w:val="000A7858"/>
    <w:rsid w:val="000B021D"/>
    <w:rsid w:val="000B1FE3"/>
    <w:rsid w:val="000B24E9"/>
    <w:rsid w:val="000B33AF"/>
    <w:rsid w:val="000B3983"/>
    <w:rsid w:val="000B4B8B"/>
    <w:rsid w:val="000B4D0E"/>
    <w:rsid w:val="000B4ECE"/>
    <w:rsid w:val="000B535F"/>
    <w:rsid w:val="000B539E"/>
    <w:rsid w:val="000B548B"/>
    <w:rsid w:val="000B5630"/>
    <w:rsid w:val="000B6180"/>
    <w:rsid w:val="000B6A07"/>
    <w:rsid w:val="000B787A"/>
    <w:rsid w:val="000C0E3B"/>
    <w:rsid w:val="000C1821"/>
    <w:rsid w:val="000C31D9"/>
    <w:rsid w:val="000C33F2"/>
    <w:rsid w:val="000C34C6"/>
    <w:rsid w:val="000C362C"/>
    <w:rsid w:val="000C44E8"/>
    <w:rsid w:val="000C509D"/>
    <w:rsid w:val="000C5CE7"/>
    <w:rsid w:val="000C5F55"/>
    <w:rsid w:val="000C6CD2"/>
    <w:rsid w:val="000C70E2"/>
    <w:rsid w:val="000D00AC"/>
    <w:rsid w:val="000D08F0"/>
    <w:rsid w:val="000D2417"/>
    <w:rsid w:val="000D2CF9"/>
    <w:rsid w:val="000D3143"/>
    <w:rsid w:val="000D3619"/>
    <w:rsid w:val="000D3F9E"/>
    <w:rsid w:val="000D4CFC"/>
    <w:rsid w:val="000D504C"/>
    <w:rsid w:val="000D5AAD"/>
    <w:rsid w:val="000D5ADB"/>
    <w:rsid w:val="000D683B"/>
    <w:rsid w:val="000D6F84"/>
    <w:rsid w:val="000D73CE"/>
    <w:rsid w:val="000D7BA5"/>
    <w:rsid w:val="000E0ACE"/>
    <w:rsid w:val="000E0F36"/>
    <w:rsid w:val="000E150A"/>
    <w:rsid w:val="000E1BBA"/>
    <w:rsid w:val="000E1BF5"/>
    <w:rsid w:val="000E34C3"/>
    <w:rsid w:val="000E39BE"/>
    <w:rsid w:val="000E3E6A"/>
    <w:rsid w:val="000E4271"/>
    <w:rsid w:val="000E5697"/>
    <w:rsid w:val="000E7521"/>
    <w:rsid w:val="000E7C61"/>
    <w:rsid w:val="000F2766"/>
    <w:rsid w:val="000F2BC1"/>
    <w:rsid w:val="000F41B3"/>
    <w:rsid w:val="000F57EC"/>
    <w:rsid w:val="000F63F5"/>
    <w:rsid w:val="000F69DD"/>
    <w:rsid w:val="000F6B3A"/>
    <w:rsid w:val="000F6F09"/>
    <w:rsid w:val="000F7E02"/>
    <w:rsid w:val="000F7FA6"/>
    <w:rsid w:val="00100CD5"/>
    <w:rsid w:val="0010126E"/>
    <w:rsid w:val="001034F6"/>
    <w:rsid w:val="00103861"/>
    <w:rsid w:val="00103C71"/>
    <w:rsid w:val="0010424A"/>
    <w:rsid w:val="00104DE0"/>
    <w:rsid w:val="00104F3E"/>
    <w:rsid w:val="00106041"/>
    <w:rsid w:val="00106864"/>
    <w:rsid w:val="00106EE8"/>
    <w:rsid w:val="00107442"/>
    <w:rsid w:val="00107476"/>
    <w:rsid w:val="00107BB6"/>
    <w:rsid w:val="001107A1"/>
    <w:rsid w:val="0011175B"/>
    <w:rsid w:val="001121CF"/>
    <w:rsid w:val="00112E43"/>
    <w:rsid w:val="0011307E"/>
    <w:rsid w:val="00113441"/>
    <w:rsid w:val="0011535C"/>
    <w:rsid w:val="00116102"/>
    <w:rsid w:val="00116F43"/>
    <w:rsid w:val="0011721D"/>
    <w:rsid w:val="00117B62"/>
    <w:rsid w:val="00120C3D"/>
    <w:rsid w:val="00120E5D"/>
    <w:rsid w:val="00120E70"/>
    <w:rsid w:val="00121544"/>
    <w:rsid w:val="00122334"/>
    <w:rsid w:val="00122727"/>
    <w:rsid w:val="00123684"/>
    <w:rsid w:val="0012373C"/>
    <w:rsid w:val="00123F39"/>
    <w:rsid w:val="0012446C"/>
    <w:rsid w:val="00124761"/>
    <w:rsid w:val="00126353"/>
    <w:rsid w:val="001273EB"/>
    <w:rsid w:val="00127521"/>
    <w:rsid w:val="00130EBB"/>
    <w:rsid w:val="001316AA"/>
    <w:rsid w:val="001329B1"/>
    <w:rsid w:val="00132A94"/>
    <w:rsid w:val="0013424F"/>
    <w:rsid w:val="00134E0D"/>
    <w:rsid w:val="00135964"/>
    <w:rsid w:val="00135AE5"/>
    <w:rsid w:val="00136171"/>
    <w:rsid w:val="0013629F"/>
    <w:rsid w:val="00136580"/>
    <w:rsid w:val="00136A19"/>
    <w:rsid w:val="00137585"/>
    <w:rsid w:val="00137F82"/>
    <w:rsid w:val="001402DF"/>
    <w:rsid w:val="0014112C"/>
    <w:rsid w:val="001413A9"/>
    <w:rsid w:val="00141B4D"/>
    <w:rsid w:val="001439D6"/>
    <w:rsid w:val="00143E4B"/>
    <w:rsid w:val="00143E57"/>
    <w:rsid w:val="001442AD"/>
    <w:rsid w:val="00144E0F"/>
    <w:rsid w:val="0014665B"/>
    <w:rsid w:val="00150D85"/>
    <w:rsid w:val="00150F27"/>
    <w:rsid w:val="00150F9D"/>
    <w:rsid w:val="00151027"/>
    <w:rsid w:val="00151284"/>
    <w:rsid w:val="00151329"/>
    <w:rsid w:val="00151481"/>
    <w:rsid w:val="00151D38"/>
    <w:rsid w:val="00151EFA"/>
    <w:rsid w:val="0015211F"/>
    <w:rsid w:val="00153023"/>
    <w:rsid w:val="00153222"/>
    <w:rsid w:val="00153BF9"/>
    <w:rsid w:val="00153E99"/>
    <w:rsid w:val="00154416"/>
    <w:rsid w:val="00155586"/>
    <w:rsid w:val="00155644"/>
    <w:rsid w:val="0015685D"/>
    <w:rsid w:val="00156917"/>
    <w:rsid w:val="00156CFD"/>
    <w:rsid w:val="00161144"/>
    <w:rsid w:val="0016308E"/>
    <w:rsid w:val="001637DC"/>
    <w:rsid w:val="0016381C"/>
    <w:rsid w:val="00163D40"/>
    <w:rsid w:val="00164854"/>
    <w:rsid w:val="001649D6"/>
    <w:rsid w:val="001653B3"/>
    <w:rsid w:val="00166140"/>
    <w:rsid w:val="001668AA"/>
    <w:rsid w:val="001677F4"/>
    <w:rsid w:val="00167CBE"/>
    <w:rsid w:val="00171637"/>
    <w:rsid w:val="001721CC"/>
    <w:rsid w:val="001724B9"/>
    <w:rsid w:val="00172665"/>
    <w:rsid w:val="00172E50"/>
    <w:rsid w:val="0017337D"/>
    <w:rsid w:val="00173591"/>
    <w:rsid w:val="00174C7F"/>
    <w:rsid w:val="00174F1D"/>
    <w:rsid w:val="00177022"/>
    <w:rsid w:val="00177773"/>
    <w:rsid w:val="001779AE"/>
    <w:rsid w:val="00177A95"/>
    <w:rsid w:val="00180212"/>
    <w:rsid w:val="00181A5F"/>
    <w:rsid w:val="00181FAF"/>
    <w:rsid w:val="00183AE0"/>
    <w:rsid w:val="00184314"/>
    <w:rsid w:val="0018463F"/>
    <w:rsid w:val="00184F7D"/>
    <w:rsid w:val="00185746"/>
    <w:rsid w:val="00185A8A"/>
    <w:rsid w:val="0018675A"/>
    <w:rsid w:val="00186E29"/>
    <w:rsid w:val="00187CB6"/>
    <w:rsid w:val="00190B8C"/>
    <w:rsid w:val="00190CFC"/>
    <w:rsid w:val="0019101F"/>
    <w:rsid w:val="001914A5"/>
    <w:rsid w:val="00191DC1"/>
    <w:rsid w:val="00192A0B"/>
    <w:rsid w:val="00192D0E"/>
    <w:rsid w:val="00192D0F"/>
    <w:rsid w:val="00192FF0"/>
    <w:rsid w:val="001939E2"/>
    <w:rsid w:val="001940B4"/>
    <w:rsid w:val="00194531"/>
    <w:rsid w:val="00195960"/>
    <w:rsid w:val="001962B7"/>
    <w:rsid w:val="00196313"/>
    <w:rsid w:val="00196BA8"/>
    <w:rsid w:val="00197379"/>
    <w:rsid w:val="001975E3"/>
    <w:rsid w:val="00197BF3"/>
    <w:rsid w:val="001A04C2"/>
    <w:rsid w:val="001A0538"/>
    <w:rsid w:val="001A0864"/>
    <w:rsid w:val="001A11D4"/>
    <w:rsid w:val="001A2168"/>
    <w:rsid w:val="001A4F7E"/>
    <w:rsid w:val="001A51F3"/>
    <w:rsid w:val="001A55C4"/>
    <w:rsid w:val="001A6349"/>
    <w:rsid w:val="001A6F62"/>
    <w:rsid w:val="001A72BB"/>
    <w:rsid w:val="001A7EEF"/>
    <w:rsid w:val="001B17FA"/>
    <w:rsid w:val="001B1C7E"/>
    <w:rsid w:val="001B3D09"/>
    <w:rsid w:val="001B449F"/>
    <w:rsid w:val="001B48C5"/>
    <w:rsid w:val="001B48FA"/>
    <w:rsid w:val="001B4992"/>
    <w:rsid w:val="001B5292"/>
    <w:rsid w:val="001B552D"/>
    <w:rsid w:val="001B5E92"/>
    <w:rsid w:val="001B65BC"/>
    <w:rsid w:val="001B706F"/>
    <w:rsid w:val="001B73D8"/>
    <w:rsid w:val="001B79E4"/>
    <w:rsid w:val="001C00C4"/>
    <w:rsid w:val="001C09CC"/>
    <w:rsid w:val="001C0D52"/>
    <w:rsid w:val="001C1DB0"/>
    <w:rsid w:val="001C2768"/>
    <w:rsid w:val="001C296B"/>
    <w:rsid w:val="001C2B47"/>
    <w:rsid w:val="001C4831"/>
    <w:rsid w:val="001C4C67"/>
    <w:rsid w:val="001C6407"/>
    <w:rsid w:val="001C66DC"/>
    <w:rsid w:val="001C6ECB"/>
    <w:rsid w:val="001D02BA"/>
    <w:rsid w:val="001D032E"/>
    <w:rsid w:val="001D04CA"/>
    <w:rsid w:val="001D07AC"/>
    <w:rsid w:val="001D09A6"/>
    <w:rsid w:val="001D1E49"/>
    <w:rsid w:val="001D3278"/>
    <w:rsid w:val="001D46E5"/>
    <w:rsid w:val="001D4F9D"/>
    <w:rsid w:val="001D5342"/>
    <w:rsid w:val="001D6139"/>
    <w:rsid w:val="001D63E6"/>
    <w:rsid w:val="001D7DCE"/>
    <w:rsid w:val="001D7FFB"/>
    <w:rsid w:val="001E0062"/>
    <w:rsid w:val="001E0229"/>
    <w:rsid w:val="001E0847"/>
    <w:rsid w:val="001E0FEC"/>
    <w:rsid w:val="001E3714"/>
    <w:rsid w:val="001E40EC"/>
    <w:rsid w:val="001E428A"/>
    <w:rsid w:val="001E431F"/>
    <w:rsid w:val="001E492B"/>
    <w:rsid w:val="001E5358"/>
    <w:rsid w:val="001E53B1"/>
    <w:rsid w:val="001E5C58"/>
    <w:rsid w:val="001F0012"/>
    <w:rsid w:val="001F1007"/>
    <w:rsid w:val="001F17E5"/>
    <w:rsid w:val="001F1B2C"/>
    <w:rsid w:val="001F27EE"/>
    <w:rsid w:val="001F53B1"/>
    <w:rsid w:val="001F5E01"/>
    <w:rsid w:val="001F6115"/>
    <w:rsid w:val="001F6F52"/>
    <w:rsid w:val="00200A42"/>
    <w:rsid w:val="0020361A"/>
    <w:rsid w:val="00203E73"/>
    <w:rsid w:val="00203E86"/>
    <w:rsid w:val="00203FAD"/>
    <w:rsid w:val="00204535"/>
    <w:rsid w:val="0020508B"/>
    <w:rsid w:val="00205981"/>
    <w:rsid w:val="00205A21"/>
    <w:rsid w:val="00205D5B"/>
    <w:rsid w:val="00206A8F"/>
    <w:rsid w:val="00207A34"/>
    <w:rsid w:val="00207B67"/>
    <w:rsid w:val="00207D9D"/>
    <w:rsid w:val="00210793"/>
    <w:rsid w:val="00210EFD"/>
    <w:rsid w:val="0021116A"/>
    <w:rsid w:val="0021175D"/>
    <w:rsid w:val="00211D69"/>
    <w:rsid w:val="00213387"/>
    <w:rsid w:val="0021795A"/>
    <w:rsid w:val="00217E6D"/>
    <w:rsid w:val="002205C4"/>
    <w:rsid w:val="0022084E"/>
    <w:rsid w:val="002209DC"/>
    <w:rsid w:val="00220BB3"/>
    <w:rsid w:val="0022151A"/>
    <w:rsid w:val="002223E7"/>
    <w:rsid w:val="002233BA"/>
    <w:rsid w:val="0022400D"/>
    <w:rsid w:val="0022411C"/>
    <w:rsid w:val="00224D09"/>
    <w:rsid w:val="00225090"/>
    <w:rsid w:val="0022534F"/>
    <w:rsid w:val="00225899"/>
    <w:rsid w:val="00225DD5"/>
    <w:rsid w:val="00226EB0"/>
    <w:rsid w:val="00227473"/>
    <w:rsid w:val="00227A82"/>
    <w:rsid w:val="00231222"/>
    <w:rsid w:val="00231905"/>
    <w:rsid w:val="0023214F"/>
    <w:rsid w:val="00232BA1"/>
    <w:rsid w:val="002330FB"/>
    <w:rsid w:val="002331A4"/>
    <w:rsid w:val="00233981"/>
    <w:rsid w:val="00233BB3"/>
    <w:rsid w:val="00234791"/>
    <w:rsid w:val="00234BB6"/>
    <w:rsid w:val="0023509C"/>
    <w:rsid w:val="00235AC6"/>
    <w:rsid w:val="0023658F"/>
    <w:rsid w:val="002367EF"/>
    <w:rsid w:val="00236B8C"/>
    <w:rsid w:val="00236C46"/>
    <w:rsid w:val="0024017F"/>
    <w:rsid w:val="0024076B"/>
    <w:rsid w:val="002416EC"/>
    <w:rsid w:val="0024211B"/>
    <w:rsid w:val="00242651"/>
    <w:rsid w:val="00242BD8"/>
    <w:rsid w:val="002441DE"/>
    <w:rsid w:val="00244321"/>
    <w:rsid w:val="00244498"/>
    <w:rsid w:val="00244B07"/>
    <w:rsid w:val="00245797"/>
    <w:rsid w:val="002459B6"/>
    <w:rsid w:val="00245C63"/>
    <w:rsid w:val="002462E1"/>
    <w:rsid w:val="00247742"/>
    <w:rsid w:val="00247FE7"/>
    <w:rsid w:val="002508A0"/>
    <w:rsid w:val="00250BF0"/>
    <w:rsid w:val="00250C00"/>
    <w:rsid w:val="00250E41"/>
    <w:rsid w:val="002530BA"/>
    <w:rsid w:val="002531BC"/>
    <w:rsid w:val="0025328A"/>
    <w:rsid w:val="00253797"/>
    <w:rsid w:val="0025523E"/>
    <w:rsid w:val="002553FA"/>
    <w:rsid w:val="002557F5"/>
    <w:rsid w:val="002573D0"/>
    <w:rsid w:val="002606EB"/>
    <w:rsid w:val="0026318A"/>
    <w:rsid w:val="002632BC"/>
    <w:rsid w:val="0026333E"/>
    <w:rsid w:val="00263ACE"/>
    <w:rsid w:val="00263D16"/>
    <w:rsid w:val="00265021"/>
    <w:rsid w:val="00265185"/>
    <w:rsid w:val="002653C4"/>
    <w:rsid w:val="00265A1D"/>
    <w:rsid w:val="0026615C"/>
    <w:rsid w:val="0026643D"/>
    <w:rsid w:val="00266B38"/>
    <w:rsid w:val="00267674"/>
    <w:rsid w:val="00267B54"/>
    <w:rsid w:val="00270AAB"/>
    <w:rsid w:val="00270BFE"/>
    <w:rsid w:val="002729BB"/>
    <w:rsid w:val="00273B1B"/>
    <w:rsid w:val="002740D1"/>
    <w:rsid w:val="002746AE"/>
    <w:rsid w:val="00274A46"/>
    <w:rsid w:val="002751E6"/>
    <w:rsid w:val="0027632C"/>
    <w:rsid w:val="00276AA4"/>
    <w:rsid w:val="00276BB0"/>
    <w:rsid w:val="00277C5A"/>
    <w:rsid w:val="00280365"/>
    <w:rsid w:val="00280CCF"/>
    <w:rsid w:val="00280CEF"/>
    <w:rsid w:val="00282F84"/>
    <w:rsid w:val="00283339"/>
    <w:rsid w:val="002839E1"/>
    <w:rsid w:val="00283D7E"/>
    <w:rsid w:val="00284203"/>
    <w:rsid w:val="00284299"/>
    <w:rsid w:val="00284CEF"/>
    <w:rsid w:val="00286046"/>
    <w:rsid w:val="00286315"/>
    <w:rsid w:val="002872C0"/>
    <w:rsid w:val="00287936"/>
    <w:rsid w:val="00287A10"/>
    <w:rsid w:val="00287B14"/>
    <w:rsid w:val="00290369"/>
    <w:rsid w:val="0029059C"/>
    <w:rsid w:val="00290AFC"/>
    <w:rsid w:val="00290C39"/>
    <w:rsid w:val="00291A22"/>
    <w:rsid w:val="00291C41"/>
    <w:rsid w:val="00291E5D"/>
    <w:rsid w:val="00292139"/>
    <w:rsid w:val="00293A82"/>
    <w:rsid w:val="00294A96"/>
    <w:rsid w:val="00294E9E"/>
    <w:rsid w:val="00295CC3"/>
    <w:rsid w:val="002961FA"/>
    <w:rsid w:val="002967A1"/>
    <w:rsid w:val="002970EA"/>
    <w:rsid w:val="00297275"/>
    <w:rsid w:val="00297ACB"/>
    <w:rsid w:val="002A1044"/>
    <w:rsid w:val="002A13B5"/>
    <w:rsid w:val="002A1ABB"/>
    <w:rsid w:val="002A29CC"/>
    <w:rsid w:val="002A2DA6"/>
    <w:rsid w:val="002A3E40"/>
    <w:rsid w:val="002A40BC"/>
    <w:rsid w:val="002A44C4"/>
    <w:rsid w:val="002A4B70"/>
    <w:rsid w:val="002A4DDA"/>
    <w:rsid w:val="002A5C93"/>
    <w:rsid w:val="002A60D1"/>
    <w:rsid w:val="002A6AA1"/>
    <w:rsid w:val="002A6FB7"/>
    <w:rsid w:val="002A78A0"/>
    <w:rsid w:val="002B0D67"/>
    <w:rsid w:val="002B16BA"/>
    <w:rsid w:val="002B1E3E"/>
    <w:rsid w:val="002B1EEA"/>
    <w:rsid w:val="002B264E"/>
    <w:rsid w:val="002B2EE5"/>
    <w:rsid w:val="002B3CDA"/>
    <w:rsid w:val="002B4D3D"/>
    <w:rsid w:val="002B5FFA"/>
    <w:rsid w:val="002B64C9"/>
    <w:rsid w:val="002B70AD"/>
    <w:rsid w:val="002B78EC"/>
    <w:rsid w:val="002C022D"/>
    <w:rsid w:val="002C261A"/>
    <w:rsid w:val="002C2F8C"/>
    <w:rsid w:val="002C3BDA"/>
    <w:rsid w:val="002C47E6"/>
    <w:rsid w:val="002C4C57"/>
    <w:rsid w:val="002C5C76"/>
    <w:rsid w:val="002C5FCC"/>
    <w:rsid w:val="002C5FCE"/>
    <w:rsid w:val="002C6735"/>
    <w:rsid w:val="002C6F7B"/>
    <w:rsid w:val="002C78FA"/>
    <w:rsid w:val="002D04B4"/>
    <w:rsid w:val="002D0CD1"/>
    <w:rsid w:val="002D2AB0"/>
    <w:rsid w:val="002D2F1F"/>
    <w:rsid w:val="002D35DA"/>
    <w:rsid w:val="002D5113"/>
    <w:rsid w:val="002D67E6"/>
    <w:rsid w:val="002D6D35"/>
    <w:rsid w:val="002E025C"/>
    <w:rsid w:val="002E048C"/>
    <w:rsid w:val="002E0944"/>
    <w:rsid w:val="002E0BAD"/>
    <w:rsid w:val="002E1AEA"/>
    <w:rsid w:val="002E201E"/>
    <w:rsid w:val="002E302F"/>
    <w:rsid w:val="002E5322"/>
    <w:rsid w:val="002E53E7"/>
    <w:rsid w:val="002E6FB7"/>
    <w:rsid w:val="002E76E7"/>
    <w:rsid w:val="002E7D80"/>
    <w:rsid w:val="002F05AD"/>
    <w:rsid w:val="002F08C4"/>
    <w:rsid w:val="002F1731"/>
    <w:rsid w:val="002F1E66"/>
    <w:rsid w:val="002F1F9E"/>
    <w:rsid w:val="002F2688"/>
    <w:rsid w:val="002F2D11"/>
    <w:rsid w:val="002F397B"/>
    <w:rsid w:val="002F44D8"/>
    <w:rsid w:val="002F4B59"/>
    <w:rsid w:val="002F60E1"/>
    <w:rsid w:val="002F6995"/>
    <w:rsid w:val="0030025D"/>
    <w:rsid w:val="00300C99"/>
    <w:rsid w:val="00300DE7"/>
    <w:rsid w:val="00300F3E"/>
    <w:rsid w:val="00300F45"/>
    <w:rsid w:val="00301EB2"/>
    <w:rsid w:val="003020C2"/>
    <w:rsid w:val="003021F1"/>
    <w:rsid w:val="0030235D"/>
    <w:rsid w:val="00302A47"/>
    <w:rsid w:val="00302AB4"/>
    <w:rsid w:val="0030326F"/>
    <w:rsid w:val="003035E1"/>
    <w:rsid w:val="00303D7A"/>
    <w:rsid w:val="003042CD"/>
    <w:rsid w:val="00304B08"/>
    <w:rsid w:val="00307615"/>
    <w:rsid w:val="003119D5"/>
    <w:rsid w:val="00312924"/>
    <w:rsid w:val="00313851"/>
    <w:rsid w:val="00313DD8"/>
    <w:rsid w:val="00314122"/>
    <w:rsid w:val="003143A0"/>
    <w:rsid w:val="0031494B"/>
    <w:rsid w:val="00316B3E"/>
    <w:rsid w:val="00317BFD"/>
    <w:rsid w:val="00320203"/>
    <w:rsid w:val="003203B3"/>
    <w:rsid w:val="00320AB7"/>
    <w:rsid w:val="00322171"/>
    <w:rsid w:val="003231CC"/>
    <w:rsid w:val="003250D2"/>
    <w:rsid w:val="00325264"/>
    <w:rsid w:val="0032531C"/>
    <w:rsid w:val="00325790"/>
    <w:rsid w:val="0032591A"/>
    <w:rsid w:val="00325D6D"/>
    <w:rsid w:val="00326370"/>
    <w:rsid w:val="003274EA"/>
    <w:rsid w:val="003319BA"/>
    <w:rsid w:val="00331AB0"/>
    <w:rsid w:val="003333F8"/>
    <w:rsid w:val="003346B0"/>
    <w:rsid w:val="00335A07"/>
    <w:rsid w:val="00336EC5"/>
    <w:rsid w:val="003401F8"/>
    <w:rsid w:val="00340CAF"/>
    <w:rsid w:val="00341B1D"/>
    <w:rsid w:val="00342BE7"/>
    <w:rsid w:val="003432EA"/>
    <w:rsid w:val="00344ADC"/>
    <w:rsid w:val="00345082"/>
    <w:rsid w:val="00345150"/>
    <w:rsid w:val="003473D5"/>
    <w:rsid w:val="00347D55"/>
    <w:rsid w:val="00347E55"/>
    <w:rsid w:val="00347EDD"/>
    <w:rsid w:val="00350C30"/>
    <w:rsid w:val="00351100"/>
    <w:rsid w:val="003513F6"/>
    <w:rsid w:val="00351830"/>
    <w:rsid w:val="00352AF8"/>
    <w:rsid w:val="003533B3"/>
    <w:rsid w:val="003536A3"/>
    <w:rsid w:val="0035522B"/>
    <w:rsid w:val="00355838"/>
    <w:rsid w:val="003558BC"/>
    <w:rsid w:val="00355CFA"/>
    <w:rsid w:val="003568D2"/>
    <w:rsid w:val="00360988"/>
    <w:rsid w:val="003613B7"/>
    <w:rsid w:val="0036238B"/>
    <w:rsid w:val="00364B22"/>
    <w:rsid w:val="00365323"/>
    <w:rsid w:val="0036630E"/>
    <w:rsid w:val="00367E1E"/>
    <w:rsid w:val="00367E8F"/>
    <w:rsid w:val="00371048"/>
    <w:rsid w:val="003723D9"/>
    <w:rsid w:val="003725AA"/>
    <w:rsid w:val="00372683"/>
    <w:rsid w:val="003732CC"/>
    <w:rsid w:val="00374C57"/>
    <w:rsid w:val="00375933"/>
    <w:rsid w:val="00376A84"/>
    <w:rsid w:val="00376F4C"/>
    <w:rsid w:val="0037799F"/>
    <w:rsid w:val="003779AF"/>
    <w:rsid w:val="00380047"/>
    <w:rsid w:val="003800A6"/>
    <w:rsid w:val="003808F4"/>
    <w:rsid w:val="00380E9D"/>
    <w:rsid w:val="003845D7"/>
    <w:rsid w:val="00384737"/>
    <w:rsid w:val="003856BB"/>
    <w:rsid w:val="003900E7"/>
    <w:rsid w:val="0039077F"/>
    <w:rsid w:val="00390ACA"/>
    <w:rsid w:val="00390DF5"/>
    <w:rsid w:val="0039130D"/>
    <w:rsid w:val="00392534"/>
    <w:rsid w:val="0039269F"/>
    <w:rsid w:val="0039285F"/>
    <w:rsid w:val="00395002"/>
    <w:rsid w:val="00395085"/>
    <w:rsid w:val="003954C6"/>
    <w:rsid w:val="00395605"/>
    <w:rsid w:val="00396257"/>
    <w:rsid w:val="003978DA"/>
    <w:rsid w:val="00397B75"/>
    <w:rsid w:val="003A07F7"/>
    <w:rsid w:val="003A1931"/>
    <w:rsid w:val="003A240E"/>
    <w:rsid w:val="003A28E0"/>
    <w:rsid w:val="003A3C5B"/>
    <w:rsid w:val="003A49C3"/>
    <w:rsid w:val="003A4B4D"/>
    <w:rsid w:val="003A525B"/>
    <w:rsid w:val="003A5DA1"/>
    <w:rsid w:val="003A7B1B"/>
    <w:rsid w:val="003B02CE"/>
    <w:rsid w:val="003B0A6E"/>
    <w:rsid w:val="003B13DD"/>
    <w:rsid w:val="003B1914"/>
    <w:rsid w:val="003B2509"/>
    <w:rsid w:val="003B2C8C"/>
    <w:rsid w:val="003B2DB5"/>
    <w:rsid w:val="003B3A23"/>
    <w:rsid w:val="003B44F1"/>
    <w:rsid w:val="003B4720"/>
    <w:rsid w:val="003B4B47"/>
    <w:rsid w:val="003B4F01"/>
    <w:rsid w:val="003B68BB"/>
    <w:rsid w:val="003B6A3D"/>
    <w:rsid w:val="003C0298"/>
    <w:rsid w:val="003C15E4"/>
    <w:rsid w:val="003C18ED"/>
    <w:rsid w:val="003C1BCD"/>
    <w:rsid w:val="003C2483"/>
    <w:rsid w:val="003C2FA0"/>
    <w:rsid w:val="003C3006"/>
    <w:rsid w:val="003C39C3"/>
    <w:rsid w:val="003C50AD"/>
    <w:rsid w:val="003C59D2"/>
    <w:rsid w:val="003D0321"/>
    <w:rsid w:val="003D0410"/>
    <w:rsid w:val="003D08E8"/>
    <w:rsid w:val="003D1759"/>
    <w:rsid w:val="003D2221"/>
    <w:rsid w:val="003D287B"/>
    <w:rsid w:val="003D544F"/>
    <w:rsid w:val="003D641E"/>
    <w:rsid w:val="003D766E"/>
    <w:rsid w:val="003E03E7"/>
    <w:rsid w:val="003E0E8C"/>
    <w:rsid w:val="003E1378"/>
    <w:rsid w:val="003E18C4"/>
    <w:rsid w:val="003E1EC7"/>
    <w:rsid w:val="003E2152"/>
    <w:rsid w:val="003E2602"/>
    <w:rsid w:val="003E2C1A"/>
    <w:rsid w:val="003E2CA8"/>
    <w:rsid w:val="003E44F9"/>
    <w:rsid w:val="003E49DA"/>
    <w:rsid w:val="003E5214"/>
    <w:rsid w:val="003E60B3"/>
    <w:rsid w:val="003E632F"/>
    <w:rsid w:val="003E668D"/>
    <w:rsid w:val="003F01E6"/>
    <w:rsid w:val="003F0601"/>
    <w:rsid w:val="003F098D"/>
    <w:rsid w:val="003F0A4C"/>
    <w:rsid w:val="003F0FEB"/>
    <w:rsid w:val="003F230C"/>
    <w:rsid w:val="003F236D"/>
    <w:rsid w:val="003F29D6"/>
    <w:rsid w:val="003F3125"/>
    <w:rsid w:val="003F39F9"/>
    <w:rsid w:val="003F3EA5"/>
    <w:rsid w:val="003F508D"/>
    <w:rsid w:val="003F6C9D"/>
    <w:rsid w:val="003F6D3A"/>
    <w:rsid w:val="003F7693"/>
    <w:rsid w:val="003F798B"/>
    <w:rsid w:val="003F7EA9"/>
    <w:rsid w:val="00400C19"/>
    <w:rsid w:val="00401502"/>
    <w:rsid w:val="00401D28"/>
    <w:rsid w:val="00402480"/>
    <w:rsid w:val="004027C2"/>
    <w:rsid w:val="00402AC4"/>
    <w:rsid w:val="00402C81"/>
    <w:rsid w:val="00403ADE"/>
    <w:rsid w:val="004043D9"/>
    <w:rsid w:val="00404A68"/>
    <w:rsid w:val="00404A70"/>
    <w:rsid w:val="0040562C"/>
    <w:rsid w:val="00405932"/>
    <w:rsid w:val="00407A95"/>
    <w:rsid w:val="00407B50"/>
    <w:rsid w:val="00407C58"/>
    <w:rsid w:val="00410D66"/>
    <w:rsid w:val="00411D3F"/>
    <w:rsid w:val="00411FC6"/>
    <w:rsid w:val="00412028"/>
    <w:rsid w:val="00412C60"/>
    <w:rsid w:val="00415EE9"/>
    <w:rsid w:val="00416513"/>
    <w:rsid w:val="00416828"/>
    <w:rsid w:val="00416B99"/>
    <w:rsid w:val="00417B8C"/>
    <w:rsid w:val="00420B39"/>
    <w:rsid w:val="00420E4A"/>
    <w:rsid w:val="00420E64"/>
    <w:rsid w:val="00421569"/>
    <w:rsid w:val="00421D76"/>
    <w:rsid w:val="00422F2E"/>
    <w:rsid w:val="004231D0"/>
    <w:rsid w:val="00423BA2"/>
    <w:rsid w:val="00424237"/>
    <w:rsid w:val="00425D17"/>
    <w:rsid w:val="00426079"/>
    <w:rsid w:val="004264AF"/>
    <w:rsid w:val="00426ABE"/>
    <w:rsid w:val="00426D3F"/>
    <w:rsid w:val="004300A0"/>
    <w:rsid w:val="004304E0"/>
    <w:rsid w:val="004308BB"/>
    <w:rsid w:val="0043097F"/>
    <w:rsid w:val="00430E54"/>
    <w:rsid w:val="00433027"/>
    <w:rsid w:val="00434E75"/>
    <w:rsid w:val="004352D7"/>
    <w:rsid w:val="00435AB4"/>
    <w:rsid w:val="00436538"/>
    <w:rsid w:val="00436EE4"/>
    <w:rsid w:val="00437AE5"/>
    <w:rsid w:val="004400AC"/>
    <w:rsid w:val="00440311"/>
    <w:rsid w:val="0044036A"/>
    <w:rsid w:val="0044076E"/>
    <w:rsid w:val="0044093F"/>
    <w:rsid w:val="004410C2"/>
    <w:rsid w:val="00441292"/>
    <w:rsid w:val="00441F3A"/>
    <w:rsid w:val="00444201"/>
    <w:rsid w:val="00444814"/>
    <w:rsid w:val="00444C67"/>
    <w:rsid w:val="00446209"/>
    <w:rsid w:val="004465E4"/>
    <w:rsid w:val="00446A13"/>
    <w:rsid w:val="00447EB2"/>
    <w:rsid w:val="004510D8"/>
    <w:rsid w:val="00451484"/>
    <w:rsid w:val="004530CE"/>
    <w:rsid w:val="00453BB1"/>
    <w:rsid w:val="00455B9B"/>
    <w:rsid w:val="00455BD2"/>
    <w:rsid w:val="00455ECE"/>
    <w:rsid w:val="00456DC2"/>
    <w:rsid w:val="004572FF"/>
    <w:rsid w:val="004574F6"/>
    <w:rsid w:val="004619B2"/>
    <w:rsid w:val="00461A92"/>
    <w:rsid w:val="00462915"/>
    <w:rsid w:val="00463140"/>
    <w:rsid w:val="00463170"/>
    <w:rsid w:val="00463760"/>
    <w:rsid w:val="0046540B"/>
    <w:rsid w:val="00466965"/>
    <w:rsid w:val="00466B2D"/>
    <w:rsid w:val="00467201"/>
    <w:rsid w:val="00467600"/>
    <w:rsid w:val="00467702"/>
    <w:rsid w:val="00467AB7"/>
    <w:rsid w:val="00467AEC"/>
    <w:rsid w:val="00467EBC"/>
    <w:rsid w:val="004708E8"/>
    <w:rsid w:val="0047153C"/>
    <w:rsid w:val="00471E68"/>
    <w:rsid w:val="00471EAE"/>
    <w:rsid w:val="00472182"/>
    <w:rsid w:val="00475B93"/>
    <w:rsid w:val="0047638B"/>
    <w:rsid w:val="00476600"/>
    <w:rsid w:val="00477588"/>
    <w:rsid w:val="00477709"/>
    <w:rsid w:val="00480693"/>
    <w:rsid w:val="004810C8"/>
    <w:rsid w:val="004813EF"/>
    <w:rsid w:val="004822FD"/>
    <w:rsid w:val="0048323B"/>
    <w:rsid w:val="004833A7"/>
    <w:rsid w:val="00484C5F"/>
    <w:rsid w:val="004852FA"/>
    <w:rsid w:val="00485454"/>
    <w:rsid w:val="00486296"/>
    <w:rsid w:val="00486C4C"/>
    <w:rsid w:val="0048711D"/>
    <w:rsid w:val="00487765"/>
    <w:rsid w:val="004878C4"/>
    <w:rsid w:val="004879CF"/>
    <w:rsid w:val="00487B70"/>
    <w:rsid w:val="00487CA6"/>
    <w:rsid w:val="00487F57"/>
    <w:rsid w:val="0049133C"/>
    <w:rsid w:val="004921F7"/>
    <w:rsid w:val="00492B87"/>
    <w:rsid w:val="00492D94"/>
    <w:rsid w:val="00494A17"/>
    <w:rsid w:val="00495681"/>
    <w:rsid w:val="00495C29"/>
    <w:rsid w:val="00497619"/>
    <w:rsid w:val="004A1296"/>
    <w:rsid w:val="004A12FE"/>
    <w:rsid w:val="004A1843"/>
    <w:rsid w:val="004A1B12"/>
    <w:rsid w:val="004A3763"/>
    <w:rsid w:val="004A386B"/>
    <w:rsid w:val="004A43DC"/>
    <w:rsid w:val="004A4E58"/>
    <w:rsid w:val="004A542B"/>
    <w:rsid w:val="004A6D71"/>
    <w:rsid w:val="004A7410"/>
    <w:rsid w:val="004A7633"/>
    <w:rsid w:val="004A78E5"/>
    <w:rsid w:val="004A7B61"/>
    <w:rsid w:val="004A7EF8"/>
    <w:rsid w:val="004B0C54"/>
    <w:rsid w:val="004B16C2"/>
    <w:rsid w:val="004B344B"/>
    <w:rsid w:val="004B42FA"/>
    <w:rsid w:val="004B4446"/>
    <w:rsid w:val="004B4FFD"/>
    <w:rsid w:val="004B5239"/>
    <w:rsid w:val="004B52D0"/>
    <w:rsid w:val="004B633E"/>
    <w:rsid w:val="004B69A9"/>
    <w:rsid w:val="004B73ED"/>
    <w:rsid w:val="004C0364"/>
    <w:rsid w:val="004C18BE"/>
    <w:rsid w:val="004C29B9"/>
    <w:rsid w:val="004C2BDF"/>
    <w:rsid w:val="004C2FA4"/>
    <w:rsid w:val="004C34E9"/>
    <w:rsid w:val="004C44DD"/>
    <w:rsid w:val="004C53C4"/>
    <w:rsid w:val="004C54D2"/>
    <w:rsid w:val="004C5B6C"/>
    <w:rsid w:val="004C6721"/>
    <w:rsid w:val="004C6977"/>
    <w:rsid w:val="004D09D5"/>
    <w:rsid w:val="004D15DB"/>
    <w:rsid w:val="004D1710"/>
    <w:rsid w:val="004D3C5C"/>
    <w:rsid w:val="004D4F1C"/>
    <w:rsid w:val="004D5003"/>
    <w:rsid w:val="004D5406"/>
    <w:rsid w:val="004D56AD"/>
    <w:rsid w:val="004D5B11"/>
    <w:rsid w:val="004D6061"/>
    <w:rsid w:val="004D607D"/>
    <w:rsid w:val="004E3697"/>
    <w:rsid w:val="004E4A92"/>
    <w:rsid w:val="004E4D57"/>
    <w:rsid w:val="004E5CE4"/>
    <w:rsid w:val="004E5CF1"/>
    <w:rsid w:val="004E62B9"/>
    <w:rsid w:val="004E68F5"/>
    <w:rsid w:val="004F0A07"/>
    <w:rsid w:val="004F15D5"/>
    <w:rsid w:val="004F33E1"/>
    <w:rsid w:val="004F3631"/>
    <w:rsid w:val="004F45F8"/>
    <w:rsid w:val="004F5229"/>
    <w:rsid w:val="004F5C26"/>
    <w:rsid w:val="004F7ED3"/>
    <w:rsid w:val="0050079B"/>
    <w:rsid w:val="0050108A"/>
    <w:rsid w:val="00502B7A"/>
    <w:rsid w:val="0050478C"/>
    <w:rsid w:val="00504AC4"/>
    <w:rsid w:val="00505233"/>
    <w:rsid w:val="00506F69"/>
    <w:rsid w:val="005100ED"/>
    <w:rsid w:val="0051088C"/>
    <w:rsid w:val="005108F3"/>
    <w:rsid w:val="00510EC3"/>
    <w:rsid w:val="00511C7A"/>
    <w:rsid w:val="005129EC"/>
    <w:rsid w:val="00512E99"/>
    <w:rsid w:val="00512ECA"/>
    <w:rsid w:val="005135F1"/>
    <w:rsid w:val="0051386C"/>
    <w:rsid w:val="00513CDE"/>
    <w:rsid w:val="00513D0D"/>
    <w:rsid w:val="00514610"/>
    <w:rsid w:val="00515765"/>
    <w:rsid w:val="005159EC"/>
    <w:rsid w:val="00516377"/>
    <w:rsid w:val="00516544"/>
    <w:rsid w:val="00516AA0"/>
    <w:rsid w:val="005172DA"/>
    <w:rsid w:val="0051735E"/>
    <w:rsid w:val="0051796D"/>
    <w:rsid w:val="005202D3"/>
    <w:rsid w:val="005206D7"/>
    <w:rsid w:val="005210FC"/>
    <w:rsid w:val="005217B7"/>
    <w:rsid w:val="00522AC0"/>
    <w:rsid w:val="005236AD"/>
    <w:rsid w:val="0052412F"/>
    <w:rsid w:val="00524B71"/>
    <w:rsid w:val="00525265"/>
    <w:rsid w:val="0052548D"/>
    <w:rsid w:val="0052637A"/>
    <w:rsid w:val="0052711C"/>
    <w:rsid w:val="005279BB"/>
    <w:rsid w:val="005300C6"/>
    <w:rsid w:val="00530524"/>
    <w:rsid w:val="0053084B"/>
    <w:rsid w:val="00530ADE"/>
    <w:rsid w:val="00530AEE"/>
    <w:rsid w:val="00530F66"/>
    <w:rsid w:val="00530F8B"/>
    <w:rsid w:val="00531069"/>
    <w:rsid w:val="0053149D"/>
    <w:rsid w:val="00531590"/>
    <w:rsid w:val="0053288A"/>
    <w:rsid w:val="00533171"/>
    <w:rsid w:val="005338AF"/>
    <w:rsid w:val="005343D7"/>
    <w:rsid w:val="0053457B"/>
    <w:rsid w:val="00534AB4"/>
    <w:rsid w:val="0053577E"/>
    <w:rsid w:val="005375AC"/>
    <w:rsid w:val="00537D3B"/>
    <w:rsid w:val="00540006"/>
    <w:rsid w:val="0054110D"/>
    <w:rsid w:val="00541CD3"/>
    <w:rsid w:val="00542745"/>
    <w:rsid w:val="00543215"/>
    <w:rsid w:val="0054368B"/>
    <w:rsid w:val="00544266"/>
    <w:rsid w:val="00544C98"/>
    <w:rsid w:val="00544F48"/>
    <w:rsid w:val="00545FD7"/>
    <w:rsid w:val="005462A7"/>
    <w:rsid w:val="00547306"/>
    <w:rsid w:val="005473A2"/>
    <w:rsid w:val="00547493"/>
    <w:rsid w:val="0054782D"/>
    <w:rsid w:val="005506B9"/>
    <w:rsid w:val="00550A65"/>
    <w:rsid w:val="00550D8C"/>
    <w:rsid w:val="0055101E"/>
    <w:rsid w:val="005513F2"/>
    <w:rsid w:val="00551C19"/>
    <w:rsid w:val="00552C7E"/>
    <w:rsid w:val="005535C6"/>
    <w:rsid w:val="00555227"/>
    <w:rsid w:val="00555BC9"/>
    <w:rsid w:val="005566F1"/>
    <w:rsid w:val="00556BCB"/>
    <w:rsid w:val="00556D4C"/>
    <w:rsid w:val="00557773"/>
    <w:rsid w:val="00557C10"/>
    <w:rsid w:val="00560D17"/>
    <w:rsid w:val="00560E40"/>
    <w:rsid w:val="00561BD1"/>
    <w:rsid w:val="00561FEA"/>
    <w:rsid w:val="005623F8"/>
    <w:rsid w:val="00562A27"/>
    <w:rsid w:val="005637BA"/>
    <w:rsid w:val="00563EFB"/>
    <w:rsid w:val="0056412E"/>
    <w:rsid w:val="00564662"/>
    <w:rsid w:val="005652A2"/>
    <w:rsid w:val="005654BB"/>
    <w:rsid w:val="00565AB0"/>
    <w:rsid w:val="00566838"/>
    <w:rsid w:val="0056698A"/>
    <w:rsid w:val="00566B50"/>
    <w:rsid w:val="00570408"/>
    <w:rsid w:val="005710C9"/>
    <w:rsid w:val="00571BA4"/>
    <w:rsid w:val="005732CA"/>
    <w:rsid w:val="005735C4"/>
    <w:rsid w:val="00573D9C"/>
    <w:rsid w:val="00574475"/>
    <w:rsid w:val="00574D9D"/>
    <w:rsid w:val="00576152"/>
    <w:rsid w:val="005763EF"/>
    <w:rsid w:val="00577625"/>
    <w:rsid w:val="005803CD"/>
    <w:rsid w:val="00580C78"/>
    <w:rsid w:val="00582AA4"/>
    <w:rsid w:val="005834F7"/>
    <w:rsid w:val="00583933"/>
    <w:rsid w:val="00584E43"/>
    <w:rsid w:val="005856AE"/>
    <w:rsid w:val="00585E67"/>
    <w:rsid w:val="00586E86"/>
    <w:rsid w:val="0058701A"/>
    <w:rsid w:val="0058714D"/>
    <w:rsid w:val="005908C5"/>
    <w:rsid w:val="00592E06"/>
    <w:rsid w:val="00593123"/>
    <w:rsid w:val="00593C18"/>
    <w:rsid w:val="00593EA3"/>
    <w:rsid w:val="005940C9"/>
    <w:rsid w:val="00594484"/>
    <w:rsid w:val="00594EAD"/>
    <w:rsid w:val="00596100"/>
    <w:rsid w:val="005961B4"/>
    <w:rsid w:val="00596BE2"/>
    <w:rsid w:val="005A07A9"/>
    <w:rsid w:val="005A07C6"/>
    <w:rsid w:val="005A0A3E"/>
    <w:rsid w:val="005A0C3C"/>
    <w:rsid w:val="005A1462"/>
    <w:rsid w:val="005A23ED"/>
    <w:rsid w:val="005A2C8C"/>
    <w:rsid w:val="005A330E"/>
    <w:rsid w:val="005A389D"/>
    <w:rsid w:val="005A3992"/>
    <w:rsid w:val="005A5887"/>
    <w:rsid w:val="005A6C3A"/>
    <w:rsid w:val="005A6CE8"/>
    <w:rsid w:val="005A6E04"/>
    <w:rsid w:val="005A7083"/>
    <w:rsid w:val="005B0613"/>
    <w:rsid w:val="005B0CA9"/>
    <w:rsid w:val="005B114F"/>
    <w:rsid w:val="005B1D52"/>
    <w:rsid w:val="005B22CE"/>
    <w:rsid w:val="005B29F1"/>
    <w:rsid w:val="005B3649"/>
    <w:rsid w:val="005B36CF"/>
    <w:rsid w:val="005B3BA6"/>
    <w:rsid w:val="005B3DAD"/>
    <w:rsid w:val="005B4208"/>
    <w:rsid w:val="005B4282"/>
    <w:rsid w:val="005B52FA"/>
    <w:rsid w:val="005B5550"/>
    <w:rsid w:val="005B586D"/>
    <w:rsid w:val="005B5C37"/>
    <w:rsid w:val="005B6531"/>
    <w:rsid w:val="005B727A"/>
    <w:rsid w:val="005C0CF7"/>
    <w:rsid w:val="005C0CFD"/>
    <w:rsid w:val="005C11F2"/>
    <w:rsid w:val="005C23A6"/>
    <w:rsid w:val="005C3A15"/>
    <w:rsid w:val="005C4FC3"/>
    <w:rsid w:val="005C50AA"/>
    <w:rsid w:val="005C5395"/>
    <w:rsid w:val="005C617F"/>
    <w:rsid w:val="005C6A76"/>
    <w:rsid w:val="005C7295"/>
    <w:rsid w:val="005C76E3"/>
    <w:rsid w:val="005C774D"/>
    <w:rsid w:val="005D037A"/>
    <w:rsid w:val="005D092B"/>
    <w:rsid w:val="005D0A61"/>
    <w:rsid w:val="005D111F"/>
    <w:rsid w:val="005D13CD"/>
    <w:rsid w:val="005D1D95"/>
    <w:rsid w:val="005D20FB"/>
    <w:rsid w:val="005D3303"/>
    <w:rsid w:val="005D3900"/>
    <w:rsid w:val="005D3EA8"/>
    <w:rsid w:val="005D5482"/>
    <w:rsid w:val="005D581E"/>
    <w:rsid w:val="005D5A7A"/>
    <w:rsid w:val="005D6F56"/>
    <w:rsid w:val="005E0522"/>
    <w:rsid w:val="005E06B0"/>
    <w:rsid w:val="005E17D1"/>
    <w:rsid w:val="005E1CB2"/>
    <w:rsid w:val="005E2062"/>
    <w:rsid w:val="005E2121"/>
    <w:rsid w:val="005E2F10"/>
    <w:rsid w:val="005E3B1C"/>
    <w:rsid w:val="005E44A9"/>
    <w:rsid w:val="005E632D"/>
    <w:rsid w:val="005E692A"/>
    <w:rsid w:val="005E756A"/>
    <w:rsid w:val="005E7AFC"/>
    <w:rsid w:val="005F04AF"/>
    <w:rsid w:val="005F057E"/>
    <w:rsid w:val="005F08F3"/>
    <w:rsid w:val="005F116F"/>
    <w:rsid w:val="005F117D"/>
    <w:rsid w:val="005F285C"/>
    <w:rsid w:val="005F2960"/>
    <w:rsid w:val="005F347D"/>
    <w:rsid w:val="005F395A"/>
    <w:rsid w:val="005F43C7"/>
    <w:rsid w:val="005F469C"/>
    <w:rsid w:val="005F469E"/>
    <w:rsid w:val="005F4820"/>
    <w:rsid w:val="005F54E0"/>
    <w:rsid w:val="0060050B"/>
    <w:rsid w:val="00600772"/>
    <w:rsid w:val="006022E3"/>
    <w:rsid w:val="006028FF"/>
    <w:rsid w:val="006035A6"/>
    <w:rsid w:val="0060375B"/>
    <w:rsid w:val="00603794"/>
    <w:rsid w:val="00603EA5"/>
    <w:rsid w:val="006041DE"/>
    <w:rsid w:val="00604248"/>
    <w:rsid w:val="00605447"/>
    <w:rsid w:val="00605EA2"/>
    <w:rsid w:val="00605F92"/>
    <w:rsid w:val="0060623D"/>
    <w:rsid w:val="006071A6"/>
    <w:rsid w:val="006078EB"/>
    <w:rsid w:val="00607BE0"/>
    <w:rsid w:val="0061152F"/>
    <w:rsid w:val="00613339"/>
    <w:rsid w:val="0061403A"/>
    <w:rsid w:val="00614A14"/>
    <w:rsid w:val="00614A8E"/>
    <w:rsid w:val="00615806"/>
    <w:rsid w:val="006161DC"/>
    <w:rsid w:val="0061715E"/>
    <w:rsid w:val="00620B7D"/>
    <w:rsid w:val="0062114C"/>
    <w:rsid w:val="00621838"/>
    <w:rsid w:val="00621E3D"/>
    <w:rsid w:val="006230E1"/>
    <w:rsid w:val="00623B46"/>
    <w:rsid w:val="006240E2"/>
    <w:rsid w:val="00624233"/>
    <w:rsid w:val="006250FD"/>
    <w:rsid w:val="00626B9E"/>
    <w:rsid w:val="00627C2E"/>
    <w:rsid w:val="00630070"/>
    <w:rsid w:val="006300D8"/>
    <w:rsid w:val="0063013B"/>
    <w:rsid w:val="00630B57"/>
    <w:rsid w:val="00631A3C"/>
    <w:rsid w:val="00631DAE"/>
    <w:rsid w:val="00631F35"/>
    <w:rsid w:val="00632477"/>
    <w:rsid w:val="0063257E"/>
    <w:rsid w:val="0063315C"/>
    <w:rsid w:val="0063327D"/>
    <w:rsid w:val="00634DDB"/>
    <w:rsid w:val="00635727"/>
    <w:rsid w:val="0063698C"/>
    <w:rsid w:val="00636F26"/>
    <w:rsid w:val="00637394"/>
    <w:rsid w:val="006375BE"/>
    <w:rsid w:val="00637FDD"/>
    <w:rsid w:val="00641B9C"/>
    <w:rsid w:val="00641C75"/>
    <w:rsid w:val="00641D8F"/>
    <w:rsid w:val="0064275E"/>
    <w:rsid w:val="00643657"/>
    <w:rsid w:val="00643EF8"/>
    <w:rsid w:val="00644060"/>
    <w:rsid w:val="00644386"/>
    <w:rsid w:val="0064456D"/>
    <w:rsid w:val="00644F8E"/>
    <w:rsid w:val="00645546"/>
    <w:rsid w:val="00645AB8"/>
    <w:rsid w:val="00645D54"/>
    <w:rsid w:val="0064624A"/>
    <w:rsid w:val="00646393"/>
    <w:rsid w:val="00646FB9"/>
    <w:rsid w:val="00647288"/>
    <w:rsid w:val="00647CD4"/>
    <w:rsid w:val="00650153"/>
    <w:rsid w:val="0065023A"/>
    <w:rsid w:val="006506FE"/>
    <w:rsid w:val="00651240"/>
    <w:rsid w:val="00652DFE"/>
    <w:rsid w:val="00653E6D"/>
    <w:rsid w:val="006541B7"/>
    <w:rsid w:val="00655A0B"/>
    <w:rsid w:val="00655C48"/>
    <w:rsid w:val="00655CA3"/>
    <w:rsid w:val="00656A36"/>
    <w:rsid w:val="00656A7E"/>
    <w:rsid w:val="00656DC0"/>
    <w:rsid w:val="00660503"/>
    <w:rsid w:val="00661FC5"/>
    <w:rsid w:val="00662334"/>
    <w:rsid w:val="00662E45"/>
    <w:rsid w:val="006652EF"/>
    <w:rsid w:val="00666447"/>
    <w:rsid w:val="0066648F"/>
    <w:rsid w:val="00667A76"/>
    <w:rsid w:val="00667B6A"/>
    <w:rsid w:val="00670779"/>
    <w:rsid w:val="00670DD1"/>
    <w:rsid w:val="00671593"/>
    <w:rsid w:val="0067172B"/>
    <w:rsid w:val="00672480"/>
    <w:rsid w:val="00672498"/>
    <w:rsid w:val="00673BEB"/>
    <w:rsid w:val="0067509E"/>
    <w:rsid w:val="0067521A"/>
    <w:rsid w:val="00675E12"/>
    <w:rsid w:val="006763D3"/>
    <w:rsid w:val="006768E8"/>
    <w:rsid w:val="00677227"/>
    <w:rsid w:val="006825F6"/>
    <w:rsid w:val="00683671"/>
    <w:rsid w:val="00683D26"/>
    <w:rsid w:val="00683F25"/>
    <w:rsid w:val="00683F87"/>
    <w:rsid w:val="00684607"/>
    <w:rsid w:val="00684B7D"/>
    <w:rsid w:val="0068661A"/>
    <w:rsid w:val="00687AD4"/>
    <w:rsid w:val="00687FD2"/>
    <w:rsid w:val="00690007"/>
    <w:rsid w:val="006919FC"/>
    <w:rsid w:val="00692E21"/>
    <w:rsid w:val="00693936"/>
    <w:rsid w:val="00693A03"/>
    <w:rsid w:val="00693BF4"/>
    <w:rsid w:val="00696807"/>
    <w:rsid w:val="006969A8"/>
    <w:rsid w:val="00696E62"/>
    <w:rsid w:val="00697A97"/>
    <w:rsid w:val="00697BD9"/>
    <w:rsid w:val="00697EC7"/>
    <w:rsid w:val="006A0863"/>
    <w:rsid w:val="006A0EC0"/>
    <w:rsid w:val="006A2C00"/>
    <w:rsid w:val="006A3E9C"/>
    <w:rsid w:val="006A4451"/>
    <w:rsid w:val="006A4BB4"/>
    <w:rsid w:val="006A4DFC"/>
    <w:rsid w:val="006A5170"/>
    <w:rsid w:val="006A6730"/>
    <w:rsid w:val="006A784F"/>
    <w:rsid w:val="006B0953"/>
    <w:rsid w:val="006B0DFF"/>
    <w:rsid w:val="006B1216"/>
    <w:rsid w:val="006B17FD"/>
    <w:rsid w:val="006B18CA"/>
    <w:rsid w:val="006B2260"/>
    <w:rsid w:val="006B2FC7"/>
    <w:rsid w:val="006B2FE8"/>
    <w:rsid w:val="006B3356"/>
    <w:rsid w:val="006B5E99"/>
    <w:rsid w:val="006B64F0"/>
    <w:rsid w:val="006B6F98"/>
    <w:rsid w:val="006C0780"/>
    <w:rsid w:val="006C0E13"/>
    <w:rsid w:val="006C17D5"/>
    <w:rsid w:val="006C24D3"/>
    <w:rsid w:val="006C3056"/>
    <w:rsid w:val="006C49BD"/>
    <w:rsid w:val="006C4D81"/>
    <w:rsid w:val="006C537D"/>
    <w:rsid w:val="006C577F"/>
    <w:rsid w:val="006C5BE3"/>
    <w:rsid w:val="006C67DD"/>
    <w:rsid w:val="006C7DA4"/>
    <w:rsid w:val="006C7F5C"/>
    <w:rsid w:val="006D0038"/>
    <w:rsid w:val="006D189D"/>
    <w:rsid w:val="006D1A7C"/>
    <w:rsid w:val="006D31FC"/>
    <w:rsid w:val="006D3EF2"/>
    <w:rsid w:val="006D3FE9"/>
    <w:rsid w:val="006D406E"/>
    <w:rsid w:val="006D4703"/>
    <w:rsid w:val="006D5727"/>
    <w:rsid w:val="006D578F"/>
    <w:rsid w:val="006D5866"/>
    <w:rsid w:val="006D754C"/>
    <w:rsid w:val="006D7FBA"/>
    <w:rsid w:val="006E0264"/>
    <w:rsid w:val="006E042B"/>
    <w:rsid w:val="006E2231"/>
    <w:rsid w:val="006E2699"/>
    <w:rsid w:val="006E285D"/>
    <w:rsid w:val="006E2D0E"/>
    <w:rsid w:val="006E2FC5"/>
    <w:rsid w:val="006E347E"/>
    <w:rsid w:val="006E38DA"/>
    <w:rsid w:val="006E435D"/>
    <w:rsid w:val="006E45CF"/>
    <w:rsid w:val="006E6A12"/>
    <w:rsid w:val="006F23C2"/>
    <w:rsid w:val="006F24B2"/>
    <w:rsid w:val="006F5459"/>
    <w:rsid w:val="006F577D"/>
    <w:rsid w:val="006F5B78"/>
    <w:rsid w:val="006F72A2"/>
    <w:rsid w:val="006F794A"/>
    <w:rsid w:val="006F7F7F"/>
    <w:rsid w:val="00700900"/>
    <w:rsid w:val="00701E6F"/>
    <w:rsid w:val="0070211D"/>
    <w:rsid w:val="007025BB"/>
    <w:rsid w:val="00702733"/>
    <w:rsid w:val="00705157"/>
    <w:rsid w:val="00705DE0"/>
    <w:rsid w:val="0070634A"/>
    <w:rsid w:val="00706A17"/>
    <w:rsid w:val="0070737F"/>
    <w:rsid w:val="00710007"/>
    <w:rsid w:val="0071085F"/>
    <w:rsid w:val="0071093B"/>
    <w:rsid w:val="00710A11"/>
    <w:rsid w:val="00710A3F"/>
    <w:rsid w:val="00712684"/>
    <w:rsid w:val="007140D2"/>
    <w:rsid w:val="00714EE8"/>
    <w:rsid w:val="00715685"/>
    <w:rsid w:val="00716493"/>
    <w:rsid w:val="00717673"/>
    <w:rsid w:val="007178F9"/>
    <w:rsid w:val="00717B31"/>
    <w:rsid w:val="00720A7D"/>
    <w:rsid w:val="0072310E"/>
    <w:rsid w:val="00723F39"/>
    <w:rsid w:val="00724427"/>
    <w:rsid w:val="007245B2"/>
    <w:rsid w:val="0072462D"/>
    <w:rsid w:val="00724EAA"/>
    <w:rsid w:val="00724EDA"/>
    <w:rsid w:val="007302FD"/>
    <w:rsid w:val="0073036A"/>
    <w:rsid w:val="007307C5"/>
    <w:rsid w:val="00731489"/>
    <w:rsid w:val="00731774"/>
    <w:rsid w:val="00732E15"/>
    <w:rsid w:val="00733B89"/>
    <w:rsid w:val="00733C18"/>
    <w:rsid w:val="00734091"/>
    <w:rsid w:val="00734A51"/>
    <w:rsid w:val="007353EE"/>
    <w:rsid w:val="00736130"/>
    <w:rsid w:val="007365A4"/>
    <w:rsid w:val="00736FEF"/>
    <w:rsid w:val="00737175"/>
    <w:rsid w:val="007403ED"/>
    <w:rsid w:val="007406EC"/>
    <w:rsid w:val="0074095D"/>
    <w:rsid w:val="00740E1B"/>
    <w:rsid w:val="00741E5A"/>
    <w:rsid w:val="0074254C"/>
    <w:rsid w:val="00742E9B"/>
    <w:rsid w:val="00744DAD"/>
    <w:rsid w:val="00745212"/>
    <w:rsid w:val="007458EC"/>
    <w:rsid w:val="007503BF"/>
    <w:rsid w:val="00750451"/>
    <w:rsid w:val="00751351"/>
    <w:rsid w:val="00751632"/>
    <w:rsid w:val="00751907"/>
    <w:rsid w:val="00752384"/>
    <w:rsid w:val="007526B1"/>
    <w:rsid w:val="007529C7"/>
    <w:rsid w:val="00752FE8"/>
    <w:rsid w:val="00753150"/>
    <w:rsid w:val="0075368F"/>
    <w:rsid w:val="00753B6D"/>
    <w:rsid w:val="00754198"/>
    <w:rsid w:val="00754CE1"/>
    <w:rsid w:val="00755570"/>
    <w:rsid w:val="00755F4B"/>
    <w:rsid w:val="007560F4"/>
    <w:rsid w:val="0075612A"/>
    <w:rsid w:val="0075667F"/>
    <w:rsid w:val="0075687A"/>
    <w:rsid w:val="00757044"/>
    <w:rsid w:val="00760A6B"/>
    <w:rsid w:val="00760BB4"/>
    <w:rsid w:val="00761CA0"/>
    <w:rsid w:val="00761F51"/>
    <w:rsid w:val="00763E82"/>
    <w:rsid w:val="00764EA4"/>
    <w:rsid w:val="007658C6"/>
    <w:rsid w:val="00766017"/>
    <w:rsid w:val="00766689"/>
    <w:rsid w:val="00766A73"/>
    <w:rsid w:val="00766A7A"/>
    <w:rsid w:val="00766F6C"/>
    <w:rsid w:val="00767278"/>
    <w:rsid w:val="0077029F"/>
    <w:rsid w:val="007705EA"/>
    <w:rsid w:val="00771595"/>
    <w:rsid w:val="0077280B"/>
    <w:rsid w:val="00772D82"/>
    <w:rsid w:val="007738AC"/>
    <w:rsid w:val="00773FBF"/>
    <w:rsid w:val="00774420"/>
    <w:rsid w:val="007745EA"/>
    <w:rsid w:val="007745FD"/>
    <w:rsid w:val="00774912"/>
    <w:rsid w:val="00774D55"/>
    <w:rsid w:val="00775DD7"/>
    <w:rsid w:val="00775FFB"/>
    <w:rsid w:val="00776C09"/>
    <w:rsid w:val="00777760"/>
    <w:rsid w:val="00777AEA"/>
    <w:rsid w:val="007802C6"/>
    <w:rsid w:val="00781349"/>
    <w:rsid w:val="007817CB"/>
    <w:rsid w:val="00782196"/>
    <w:rsid w:val="00782609"/>
    <w:rsid w:val="00782B9A"/>
    <w:rsid w:val="00782BF8"/>
    <w:rsid w:val="007831AD"/>
    <w:rsid w:val="0078372D"/>
    <w:rsid w:val="00783C65"/>
    <w:rsid w:val="0078474C"/>
    <w:rsid w:val="0078495C"/>
    <w:rsid w:val="00785796"/>
    <w:rsid w:val="00785C8F"/>
    <w:rsid w:val="0078766F"/>
    <w:rsid w:val="00787A34"/>
    <w:rsid w:val="0079004C"/>
    <w:rsid w:val="00790350"/>
    <w:rsid w:val="0079062E"/>
    <w:rsid w:val="00790816"/>
    <w:rsid w:val="007909EA"/>
    <w:rsid w:val="00790F1E"/>
    <w:rsid w:val="00790F9D"/>
    <w:rsid w:val="00791080"/>
    <w:rsid w:val="00791E20"/>
    <w:rsid w:val="007924C7"/>
    <w:rsid w:val="00792891"/>
    <w:rsid w:val="00792D62"/>
    <w:rsid w:val="00793726"/>
    <w:rsid w:val="00793993"/>
    <w:rsid w:val="007944CF"/>
    <w:rsid w:val="00795578"/>
    <w:rsid w:val="007955F9"/>
    <w:rsid w:val="00796021"/>
    <w:rsid w:val="00796272"/>
    <w:rsid w:val="00796418"/>
    <w:rsid w:val="0079710B"/>
    <w:rsid w:val="0079745C"/>
    <w:rsid w:val="00797757"/>
    <w:rsid w:val="007A0D26"/>
    <w:rsid w:val="007A1090"/>
    <w:rsid w:val="007A1F2A"/>
    <w:rsid w:val="007A4285"/>
    <w:rsid w:val="007A4AC9"/>
    <w:rsid w:val="007A4AF1"/>
    <w:rsid w:val="007A6A2D"/>
    <w:rsid w:val="007A7919"/>
    <w:rsid w:val="007A7A38"/>
    <w:rsid w:val="007B0250"/>
    <w:rsid w:val="007B15F8"/>
    <w:rsid w:val="007B392B"/>
    <w:rsid w:val="007B3BCF"/>
    <w:rsid w:val="007B6BA0"/>
    <w:rsid w:val="007C0251"/>
    <w:rsid w:val="007C04FD"/>
    <w:rsid w:val="007C0563"/>
    <w:rsid w:val="007C089D"/>
    <w:rsid w:val="007C14B1"/>
    <w:rsid w:val="007C1538"/>
    <w:rsid w:val="007C15F0"/>
    <w:rsid w:val="007C19BC"/>
    <w:rsid w:val="007C2A08"/>
    <w:rsid w:val="007C4560"/>
    <w:rsid w:val="007C4A9C"/>
    <w:rsid w:val="007C542F"/>
    <w:rsid w:val="007C58B1"/>
    <w:rsid w:val="007C59D7"/>
    <w:rsid w:val="007C68FD"/>
    <w:rsid w:val="007D028A"/>
    <w:rsid w:val="007D0F0E"/>
    <w:rsid w:val="007D2001"/>
    <w:rsid w:val="007D2096"/>
    <w:rsid w:val="007D3A4E"/>
    <w:rsid w:val="007D5E93"/>
    <w:rsid w:val="007D70C9"/>
    <w:rsid w:val="007D7392"/>
    <w:rsid w:val="007D79F7"/>
    <w:rsid w:val="007D7AEC"/>
    <w:rsid w:val="007D7C65"/>
    <w:rsid w:val="007E0A9E"/>
    <w:rsid w:val="007E0BD5"/>
    <w:rsid w:val="007E11C4"/>
    <w:rsid w:val="007E1A41"/>
    <w:rsid w:val="007E1FAD"/>
    <w:rsid w:val="007E2D03"/>
    <w:rsid w:val="007E32CE"/>
    <w:rsid w:val="007E4320"/>
    <w:rsid w:val="007E54DC"/>
    <w:rsid w:val="007F0A92"/>
    <w:rsid w:val="007F2253"/>
    <w:rsid w:val="007F2907"/>
    <w:rsid w:val="007F2EBA"/>
    <w:rsid w:val="007F3401"/>
    <w:rsid w:val="007F3839"/>
    <w:rsid w:val="007F3D2B"/>
    <w:rsid w:val="007F4B91"/>
    <w:rsid w:val="007F4BCE"/>
    <w:rsid w:val="007F4E15"/>
    <w:rsid w:val="007F5668"/>
    <w:rsid w:val="007F618E"/>
    <w:rsid w:val="007F64F0"/>
    <w:rsid w:val="007F673B"/>
    <w:rsid w:val="007F6A18"/>
    <w:rsid w:val="007F74E1"/>
    <w:rsid w:val="00800034"/>
    <w:rsid w:val="008010E0"/>
    <w:rsid w:val="00802566"/>
    <w:rsid w:val="008028F8"/>
    <w:rsid w:val="00802DA8"/>
    <w:rsid w:val="00803632"/>
    <w:rsid w:val="00803E7D"/>
    <w:rsid w:val="0080423E"/>
    <w:rsid w:val="0080566A"/>
    <w:rsid w:val="0080664C"/>
    <w:rsid w:val="00810E2A"/>
    <w:rsid w:val="00811A13"/>
    <w:rsid w:val="008148CA"/>
    <w:rsid w:val="00814F83"/>
    <w:rsid w:val="008163AB"/>
    <w:rsid w:val="0081712C"/>
    <w:rsid w:val="00817957"/>
    <w:rsid w:val="008203F2"/>
    <w:rsid w:val="0082041E"/>
    <w:rsid w:val="00820883"/>
    <w:rsid w:val="00820994"/>
    <w:rsid w:val="00821F40"/>
    <w:rsid w:val="00823746"/>
    <w:rsid w:val="00823C31"/>
    <w:rsid w:val="00824B92"/>
    <w:rsid w:val="00825051"/>
    <w:rsid w:val="008254BA"/>
    <w:rsid w:val="00826064"/>
    <w:rsid w:val="008265DF"/>
    <w:rsid w:val="00826987"/>
    <w:rsid w:val="00826DE2"/>
    <w:rsid w:val="00826E11"/>
    <w:rsid w:val="008275A3"/>
    <w:rsid w:val="00827656"/>
    <w:rsid w:val="00830071"/>
    <w:rsid w:val="00830381"/>
    <w:rsid w:val="00830612"/>
    <w:rsid w:val="008312A6"/>
    <w:rsid w:val="00832482"/>
    <w:rsid w:val="008328DB"/>
    <w:rsid w:val="008339AE"/>
    <w:rsid w:val="00833A1E"/>
    <w:rsid w:val="00833EC4"/>
    <w:rsid w:val="00834A2A"/>
    <w:rsid w:val="00835D0E"/>
    <w:rsid w:val="0083611D"/>
    <w:rsid w:val="00840F62"/>
    <w:rsid w:val="00841775"/>
    <w:rsid w:val="00841C9E"/>
    <w:rsid w:val="00841E74"/>
    <w:rsid w:val="00842B64"/>
    <w:rsid w:val="008433E4"/>
    <w:rsid w:val="00843544"/>
    <w:rsid w:val="00843660"/>
    <w:rsid w:val="008447CA"/>
    <w:rsid w:val="008448A0"/>
    <w:rsid w:val="00845634"/>
    <w:rsid w:val="008465AD"/>
    <w:rsid w:val="00850424"/>
    <w:rsid w:val="00851BD4"/>
    <w:rsid w:val="00852432"/>
    <w:rsid w:val="008526C2"/>
    <w:rsid w:val="008528A3"/>
    <w:rsid w:val="00853AE7"/>
    <w:rsid w:val="008540CC"/>
    <w:rsid w:val="00856AE8"/>
    <w:rsid w:val="00856B1B"/>
    <w:rsid w:val="00860C46"/>
    <w:rsid w:val="00860FEF"/>
    <w:rsid w:val="00861D5D"/>
    <w:rsid w:val="00862F2B"/>
    <w:rsid w:val="00862F43"/>
    <w:rsid w:val="00863019"/>
    <w:rsid w:val="00864672"/>
    <w:rsid w:val="00866A79"/>
    <w:rsid w:val="00867034"/>
    <w:rsid w:val="00867539"/>
    <w:rsid w:val="008678BF"/>
    <w:rsid w:val="008678E5"/>
    <w:rsid w:val="00870CDA"/>
    <w:rsid w:val="00870DB9"/>
    <w:rsid w:val="00872112"/>
    <w:rsid w:val="0087320D"/>
    <w:rsid w:val="00874261"/>
    <w:rsid w:val="00874CCB"/>
    <w:rsid w:val="00875329"/>
    <w:rsid w:val="008767D1"/>
    <w:rsid w:val="008768DE"/>
    <w:rsid w:val="00881D8F"/>
    <w:rsid w:val="00881EDB"/>
    <w:rsid w:val="00882263"/>
    <w:rsid w:val="0088266E"/>
    <w:rsid w:val="00882EDD"/>
    <w:rsid w:val="00883C8C"/>
    <w:rsid w:val="00884214"/>
    <w:rsid w:val="00884FE8"/>
    <w:rsid w:val="008863AD"/>
    <w:rsid w:val="00886AA2"/>
    <w:rsid w:val="00887F8A"/>
    <w:rsid w:val="008906F3"/>
    <w:rsid w:val="00890C7B"/>
    <w:rsid w:val="00891200"/>
    <w:rsid w:val="0089150F"/>
    <w:rsid w:val="00891DC0"/>
    <w:rsid w:val="00892765"/>
    <w:rsid w:val="00893165"/>
    <w:rsid w:val="00893DF8"/>
    <w:rsid w:val="00894C4A"/>
    <w:rsid w:val="0089547C"/>
    <w:rsid w:val="0089571A"/>
    <w:rsid w:val="00895F92"/>
    <w:rsid w:val="00896117"/>
    <w:rsid w:val="00896573"/>
    <w:rsid w:val="00896E88"/>
    <w:rsid w:val="00896FB5"/>
    <w:rsid w:val="0089755E"/>
    <w:rsid w:val="00897A87"/>
    <w:rsid w:val="00897DFB"/>
    <w:rsid w:val="008A14D4"/>
    <w:rsid w:val="008A3581"/>
    <w:rsid w:val="008A401C"/>
    <w:rsid w:val="008A473A"/>
    <w:rsid w:val="008A54C8"/>
    <w:rsid w:val="008A7074"/>
    <w:rsid w:val="008A733E"/>
    <w:rsid w:val="008B1641"/>
    <w:rsid w:val="008B1E5B"/>
    <w:rsid w:val="008B200C"/>
    <w:rsid w:val="008B25F3"/>
    <w:rsid w:val="008B2D28"/>
    <w:rsid w:val="008B2FB2"/>
    <w:rsid w:val="008B3296"/>
    <w:rsid w:val="008B3FC1"/>
    <w:rsid w:val="008B487D"/>
    <w:rsid w:val="008B4A05"/>
    <w:rsid w:val="008B50A1"/>
    <w:rsid w:val="008B5AA1"/>
    <w:rsid w:val="008B5E1C"/>
    <w:rsid w:val="008B5EB6"/>
    <w:rsid w:val="008B6622"/>
    <w:rsid w:val="008B710B"/>
    <w:rsid w:val="008B7C86"/>
    <w:rsid w:val="008B7EE2"/>
    <w:rsid w:val="008C1CE1"/>
    <w:rsid w:val="008C2B57"/>
    <w:rsid w:val="008C30C9"/>
    <w:rsid w:val="008C35DA"/>
    <w:rsid w:val="008C400B"/>
    <w:rsid w:val="008C4247"/>
    <w:rsid w:val="008C6956"/>
    <w:rsid w:val="008C6BD9"/>
    <w:rsid w:val="008C7FA9"/>
    <w:rsid w:val="008D0094"/>
    <w:rsid w:val="008D0CA2"/>
    <w:rsid w:val="008D1797"/>
    <w:rsid w:val="008D1C55"/>
    <w:rsid w:val="008D27ED"/>
    <w:rsid w:val="008D2BC5"/>
    <w:rsid w:val="008D3300"/>
    <w:rsid w:val="008D3ADE"/>
    <w:rsid w:val="008D4070"/>
    <w:rsid w:val="008D4684"/>
    <w:rsid w:val="008D55F2"/>
    <w:rsid w:val="008D5D5A"/>
    <w:rsid w:val="008D5E0B"/>
    <w:rsid w:val="008D741E"/>
    <w:rsid w:val="008E0677"/>
    <w:rsid w:val="008E0DE2"/>
    <w:rsid w:val="008E1451"/>
    <w:rsid w:val="008E195B"/>
    <w:rsid w:val="008E2EB1"/>
    <w:rsid w:val="008E3464"/>
    <w:rsid w:val="008E37D7"/>
    <w:rsid w:val="008E40ED"/>
    <w:rsid w:val="008E423F"/>
    <w:rsid w:val="008E434C"/>
    <w:rsid w:val="008E51C4"/>
    <w:rsid w:val="008E5665"/>
    <w:rsid w:val="008E59DC"/>
    <w:rsid w:val="008F04E4"/>
    <w:rsid w:val="008F26F0"/>
    <w:rsid w:val="008F3CFA"/>
    <w:rsid w:val="008F4DDB"/>
    <w:rsid w:val="008F53D6"/>
    <w:rsid w:val="008F5546"/>
    <w:rsid w:val="008F60E9"/>
    <w:rsid w:val="008F7C88"/>
    <w:rsid w:val="009011E0"/>
    <w:rsid w:val="00901752"/>
    <w:rsid w:val="00902074"/>
    <w:rsid w:val="00903730"/>
    <w:rsid w:val="0090386E"/>
    <w:rsid w:val="00905592"/>
    <w:rsid w:val="009055C4"/>
    <w:rsid w:val="00910398"/>
    <w:rsid w:val="00910832"/>
    <w:rsid w:val="009119A2"/>
    <w:rsid w:val="00911A3C"/>
    <w:rsid w:val="00912450"/>
    <w:rsid w:val="009130BF"/>
    <w:rsid w:val="0091377D"/>
    <w:rsid w:val="00915DDC"/>
    <w:rsid w:val="00915E93"/>
    <w:rsid w:val="0091735A"/>
    <w:rsid w:val="009234DE"/>
    <w:rsid w:val="0092478A"/>
    <w:rsid w:val="00927956"/>
    <w:rsid w:val="00927B4E"/>
    <w:rsid w:val="00930766"/>
    <w:rsid w:val="00930B2A"/>
    <w:rsid w:val="00930C19"/>
    <w:rsid w:val="00931860"/>
    <w:rsid w:val="00932268"/>
    <w:rsid w:val="00933429"/>
    <w:rsid w:val="00934300"/>
    <w:rsid w:val="0093535D"/>
    <w:rsid w:val="00936091"/>
    <w:rsid w:val="0093695C"/>
    <w:rsid w:val="0093710A"/>
    <w:rsid w:val="009373DE"/>
    <w:rsid w:val="00941893"/>
    <w:rsid w:val="00942E02"/>
    <w:rsid w:val="00943F04"/>
    <w:rsid w:val="009445A7"/>
    <w:rsid w:val="00945502"/>
    <w:rsid w:val="009457ED"/>
    <w:rsid w:val="0094774F"/>
    <w:rsid w:val="009500C9"/>
    <w:rsid w:val="00950540"/>
    <w:rsid w:val="00950641"/>
    <w:rsid w:val="0095206A"/>
    <w:rsid w:val="00952CB3"/>
    <w:rsid w:val="00952E98"/>
    <w:rsid w:val="00952EFB"/>
    <w:rsid w:val="00953204"/>
    <w:rsid w:val="009533DC"/>
    <w:rsid w:val="00953453"/>
    <w:rsid w:val="00954407"/>
    <w:rsid w:val="00954E95"/>
    <w:rsid w:val="00955DB3"/>
    <w:rsid w:val="00956806"/>
    <w:rsid w:val="00957A6F"/>
    <w:rsid w:val="00960E99"/>
    <w:rsid w:val="00961A6C"/>
    <w:rsid w:val="009624D9"/>
    <w:rsid w:val="009631F3"/>
    <w:rsid w:val="009632F4"/>
    <w:rsid w:val="00963AA7"/>
    <w:rsid w:val="00964A2D"/>
    <w:rsid w:val="00964D6A"/>
    <w:rsid w:val="00964F57"/>
    <w:rsid w:val="00965148"/>
    <w:rsid w:val="00965573"/>
    <w:rsid w:val="00966304"/>
    <w:rsid w:val="00966ECD"/>
    <w:rsid w:val="00966F38"/>
    <w:rsid w:val="009710AF"/>
    <w:rsid w:val="0097172E"/>
    <w:rsid w:val="00971772"/>
    <w:rsid w:val="00971AC9"/>
    <w:rsid w:val="00971D6C"/>
    <w:rsid w:val="0097254F"/>
    <w:rsid w:val="00972E00"/>
    <w:rsid w:val="00973625"/>
    <w:rsid w:val="009737FE"/>
    <w:rsid w:val="00973CD6"/>
    <w:rsid w:val="009757AD"/>
    <w:rsid w:val="00975A01"/>
    <w:rsid w:val="009773C8"/>
    <w:rsid w:val="00977ADB"/>
    <w:rsid w:val="009810EB"/>
    <w:rsid w:val="00982331"/>
    <w:rsid w:val="009833FC"/>
    <w:rsid w:val="0098359A"/>
    <w:rsid w:val="00984FD0"/>
    <w:rsid w:val="009858B5"/>
    <w:rsid w:val="009863E3"/>
    <w:rsid w:val="00986C38"/>
    <w:rsid w:val="00987AA9"/>
    <w:rsid w:val="00987CFC"/>
    <w:rsid w:val="00990875"/>
    <w:rsid w:val="00990996"/>
    <w:rsid w:val="0099192F"/>
    <w:rsid w:val="00991F09"/>
    <w:rsid w:val="009922A1"/>
    <w:rsid w:val="00992452"/>
    <w:rsid w:val="00993266"/>
    <w:rsid w:val="009947F2"/>
    <w:rsid w:val="009958BB"/>
    <w:rsid w:val="009963DF"/>
    <w:rsid w:val="00996C14"/>
    <w:rsid w:val="009975B3"/>
    <w:rsid w:val="00997AAD"/>
    <w:rsid w:val="009A000D"/>
    <w:rsid w:val="009A01F7"/>
    <w:rsid w:val="009A1035"/>
    <w:rsid w:val="009A1AE7"/>
    <w:rsid w:val="009A1BEA"/>
    <w:rsid w:val="009A2678"/>
    <w:rsid w:val="009A29A1"/>
    <w:rsid w:val="009A2DCC"/>
    <w:rsid w:val="009A34CC"/>
    <w:rsid w:val="009A3F33"/>
    <w:rsid w:val="009A401C"/>
    <w:rsid w:val="009A40B1"/>
    <w:rsid w:val="009A5632"/>
    <w:rsid w:val="009A5AF4"/>
    <w:rsid w:val="009A7D83"/>
    <w:rsid w:val="009B2225"/>
    <w:rsid w:val="009B2F00"/>
    <w:rsid w:val="009B32A1"/>
    <w:rsid w:val="009B481D"/>
    <w:rsid w:val="009B4F8D"/>
    <w:rsid w:val="009B51D1"/>
    <w:rsid w:val="009B5752"/>
    <w:rsid w:val="009B606A"/>
    <w:rsid w:val="009B6FE0"/>
    <w:rsid w:val="009B74E4"/>
    <w:rsid w:val="009B7670"/>
    <w:rsid w:val="009B78F6"/>
    <w:rsid w:val="009B7AE9"/>
    <w:rsid w:val="009C0CD6"/>
    <w:rsid w:val="009C1350"/>
    <w:rsid w:val="009C1CAF"/>
    <w:rsid w:val="009C2BDE"/>
    <w:rsid w:val="009C3974"/>
    <w:rsid w:val="009C4A3A"/>
    <w:rsid w:val="009C54B7"/>
    <w:rsid w:val="009C56EF"/>
    <w:rsid w:val="009C5E1C"/>
    <w:rsid w:val="009C6E72"/>
    <w:rsid w:val="009C7905"/>
    <w:rsid w:val="009D0599"/>
    <w:rsid w:val="009D0B11"/>
    <w:rsid w:val="009D0E9B"/>
    <w:rsid w:val="009D1DE6"/>
    <w:rsid w:val="009D3D6D"/>
    <w:rsid w:val="009D65BB"/>
    <w:rsid w:val="009D6F02"/>
    <w:rsid w:val="009E08E7"/>
    <w:rsid w:val="009E3467"/>
    <w:rsid w:val="009E3757"/>
    <w:rsid w:val="009E38B6"/>
    <w:rsid w:val="009E3CC1"/>
    <w:rsid w:val="009E49C5"/>
    <w:rsid w:val="009E4D46"/>
    <w:rsid w:val="009E4F95"/>
    <w:rsid w:val="009E510C"/>
    <w:rsid w:val="009E5248"/>
    <w:rsid w:val="009E526D"/>
    <w:rsid w:val="009E725E"/>
    <w:rsid w:val="009E744A"/>
    <w:rsid w:val="009E7A9C"/>
    <w:rsid w:val="009F0044"/>
    <w:rsid w:val="009F06C6"/>
    <w:rsid w:val="009F2CD2"/>
    <w:rsid w:val="009F5826"/>
    <w:rsid w:val="009F596A"/>
    <w:rsid w:val="009F6B16"/>
    <w:rsid w:val="009F73BD"/>
    <w:rsid w:val="00A0010C"/>
    <w:rsid w:val="00A01C4E"/>
    <w:rsid w:val="00A04976"/>
    <w:rsid w:val="00A04A8A"/>
    <w:rsid w:val="00A05B6F"/>
    <w:rsid w:val="00A05F5F"/>
    <w:rsid w:val="00A068F7"/>
    <w:rsid w:val="00A07406"/>
    <w:rsid w:val="00A07699"/>
    <w:rsid w:val="00A11194"/>
    <w:rsid w:val="00A11734"/>
    <w:rsid w:val="00A1184E"/>
    <w:rsid w:val="00A11D45"/>
    <w:rsid w:val="00A12167"/>
    <w:rsid w:val="00A13E18"/>
    <w:rsid w:val="00A15195"/>
    <w:rsid w:val="00A161B4"/>
    <w:rsid w:val="00A165A3"/>
    <w:rsid w:val="00A17997"/>
    <w:rsid w:val="00A17C85"/>
    <w:rsid w:val="00A20235"/>
    <w:rsid w:val="00A20830"/>
    <w:rsid w:val="00A2109E"/>
    <w:rsid w:val="00A22060"/>
    <w:rsid w:val="00A22671"/>
    <w:rsid w:val="00A22D05"/>
    <w:rsid w:val="00A23BE5"/>
    <w:rsid w:val="00A24190"/>
    <w:rsid w:val="00A24B0D"/>
    <w:rsid w:val="00A24E86"/>
    <w:rsid w:val="00A2592F"/>
    <w:rsid w:val="00A25D3E"/>
    <w:rsid w:val="00A268AB"/>
    <w:rsid w:val="00A27929"/>
    <w:rsid w:val="00A27BF3"/>
    <w:rsid w:val="00A305D4"/>
    <w:rsid w:val="00A32197"/>
    <w:rsid w:val="00A321C2"/>
    <w:rsid w:val="00A3237A"/>
    <w:rsid w:val="00A32EBC"/>
    <w:rsid w:val="00A33568"/>
    <w:rsid w:val="00A33879"/>
    <w:rsid w:val="00A33EEB"/>
    <w:rsid w:val="00A348F4"/>
    <w:rsid w:val="00A3610A"/>
    <w:rsid w:val="00A3673C"/>
    <w:rsid w:val="00A36D42"/>
    <w:rsid w:val="00A36F7D"/>
    <w:rsid w:val="00A37AC3"/>
    <w:rsid w:val="00A40955"/>
    <w:rsid w:val="00A40C54"/>
    <w:rsid w:val="00A41DC6"/>
    <w:rsid w:val="00A423C8"/>
    <w:rsid w:val="00A4332D"/>
    <w:rsid w:val="00A43ED4"/>
    <w:rsid w:val="00A446D1"/>
    <w:rsid w:val="00A45C24"/>
    <w:rsid w:val="00A46759"/>
    <w:rsid w:val="00A46E9E"/>
    <w:rsid w:val="00A5044D"/>
    <w:rsid w:val="00A50FA1"/>
    <w:rsid w:val="00A51748"/>
    <w:rsid w:val="00A53060"/>
    <w:rsid w:val="00A53409"/>
    <w:rsid w:val="00A537E9"/>
    <w:rsid w:val="00A538BB"/>
    <w:rsid w:val="00A539FB"/>
    <w:rsid w:val="00A555B5"/>
    <w:rsid w:val="00A564C2"/>
    <w:rsid w:val="00A570FB"/>
    <w:rsid w:val="00A572B7"/>
    <w:rsid w:val="00A573C0"/>
    <w:rsid w:val="00A60074"/>
    <w:rsid w:val="00A60550"/>
    <w:rsid w:val="00A61E03"/>
    <w:rsid w:val="00A61F50"/>
    <w:rsid w:val="00A61FA2"/>
    <w:rsid w:val="00A625E4"/>
    <w:rsid w:val="00A6298E"/>
    <w:rsid w:val="00A62BEE"/>
    <w:rsid w:val="00A62EBF"/>
    <w:rsid w:val="00A63D2A"/>
    <w:rsid w:val="00A63F6C"/>
    <w:rsid w:val="00A64D93"/>
    <w:rsid w:val="00A65B33"/>
    <w:rsid w:val="00A661B3"/>
    <w:rsid w:val="00A672F3"/>
    <w:rsid w:val="00A6780E"/>
    <w:rsid w:val="00A67C64"/>
    <w:rsid w:val="00A710B9"/>
    <w:rsid w:val="00A71719"/>
    <w:rsid w:val="00A7207C"/>
    <w:rsid w:val="00A7231B"/>
    <w:rsid w:val="00A72DAB"/>
    <w:rsid w:val="00A72DD9"/>
    <w:rsid w:val="00A7370F"/>
    <w:rsid w:val="00A73DA2"/>
    <w:rsid w:val="00A73FF4"/>
    <w:rsid w:val="00A7459B"/>
    <w:rsid w:val="00A7494E"/>
    <w:rsid w:val="00A76268"/>
    <w:rsid w:val="00A76EA3"/>
    <w:rsid w:val="00A777E1"/>
    <w:rsid w:val="00A8035A"/>
    <w:rsid w:val="00A805A2"/>
    <w:rsid w:val="00A80C53"/>
    <w:rsid w:val="00A81147"/>
    <w:rsid w:val="00A8114C"/>
    <w:rsid w:val="00A81960"/>
    <w:rsid w:val="00A81E16"/>
    <w:rsid w:val="00A8217B"/>
    <w:rsid w:val="00A8315D"/>
    <w:rsid w:val="00A83724"/>
    <w:rsid w:val="00A83EEC"/>
    <w:rsid w:val="00A84C2B"/>
    <w:rsid w:val="00A85064"/>
    <w:rsid w:val="00A85682"/>
    <w:rsid w:val="00A8713A"/>
    <w:rsid w:val="00A87D98"/>
    <w:rsid w:val="00A900E4"/>
    <w:rsid w:val="00A90B7B"/>
    <w:rsid w:val="00A91392"/>
    <w:rsid w:val="00A91768"/>
    <w:rsid w:val="00A91C98"/>
    <w:rsid w:val="00A92246"/>
    <w:rsid w:val="00A92859"/>
    <w:rsid w:val="00A93054"/>
    <w:rsid w:val="00A93302"/>
    <w:rsid w:val="00A93EB6"/>
    <w:rsid w:val="00A93F99"/>
    <w:rsid w:val="00A94DE2"/>
    <w:rsid w:val="00AA015F"/>
    <w:rsid w:val="00AA080A"/>
    <w:rsid w:val="00AA1167"/>
    <w:rsid w:val="00AA1BA2"/>
    <w:rsid w:val="00AA23E4"/>
    <w:rsid w:val="00AA258F"/>
    <w:rsid w:val="00AA2EA6"/>
    <w:rsid w:val="00AA3065"/>
    <w:rsid w:val="00AA3C75"/>
    <w:rsid w:val="00AA4486"/>
    <w:rsid w:val="00AA4AFB"/>
    <w:rsid w:val="00AA6128"/>
    <w:rsid w:val="00AA6140"/>
    <w:rsid w:val="00AA6CFA"/>
    <w:rsid w:val="00AA7F9B"/>
    <w:rsid w:val="00AB086C"/>
    <w:rsid w:val="00AB1AA3"/>
    <w:rsid w:val="00AB1E3E"/>
    <w:rsid w:val="00AB1E5F"/>
    <w:rsid w:val="00AB2800"/>
    <w:rsid w:val="00AB3370"/>
    <w:rsid w:val="00AB3AAB"/>
    <w:rsid w:val="00AB60B4"/>
    <w:rsid w:val="00AB64E4"/>
    <w:rsid w:val="00AB6BFD"/>
    <w:rsid w:val="00AB78C8"/>
    <w:rsid w:val="00AC1310"/>
    <w:rsid w:val="00AC1AC6"/>
    <w:rsid w:val="00AC1FD2"/>
    <w:rsid w:val="00AC260E"/>
    <w:rsid w:val="00AC34C8"/>
    <w:rsid w:val="00AC3627"/>
    <w:rsid w:val="00AC3972"/>
    <w:rsid w:val="00AC50F9"/>
    <w:rsid w:val="00AC5134"/>
    <w:rsid w:val="00AC669E"/>
    <w:rsid w:val="00AC70F4"/>
    <w:rsid w:val="00AC792D"/>
    <w:rsid w:val="00AD11DE"/>
    <w:rsid w:val="00AD17CF"/>
    <w:rsid w:val="00AD188E"/>
    <w:rsid w:val="00AD1B21"/>
    <w:rsid w:val="00AD1FDA"/>
    <w:rsid w:val="00AD2E65"/>
    <w:rsid w:val="00AD6195"/>
    <w:rsid w:val="00AD642F"/>
    <w:rsid w:val="00AD6CDD"/>
    <w:rsid w:val="00AE1F11"/>
    <w:rsid w:val="00AE22EA"/>
    <w:rsid w:val="00AE2C01"/>
    <w:rsid w:val="00AE36E8"/>
    <w:rsid w:val="00AE6684"/>
    <w:rsid w:val="00AE699E"/>
    <w:rsid w:val="00AE7165"/>
    <w:rsid w:val="00AF0093"/>
    <w:rsid w:val="00AF067F"/>
    <w:rsid w:val="00AF06D8"/>
    <w:rsid w:val="00AF095D"/>
    <w:rsid w:val="00AF13B5"/>
    <w:rsid w:val="00AF1D91"/>
    <w:rsid w:val="00AF2FD8"/>
    <w:rsid w:val="00AF47D3"/>
    <w:rsid w:val="00AF5E8C"/>
    <w:rsid w:val="00AF7B44"/>
    <w:rsid w:val="00B00B63"/>
    <w:rsid w:val="00B00F90"/>
    <w:rsid w:val="00B01375"/>
    <w:rsid w:val="00B016F5"/>
    <w:rsid w:val="00B018FF"/>
    <w:rsid w:val="00B019CA"/>
    <w:rsid w:val="00B02A29"/>
    <w:rsid w:val="00B0464A"/>
    <w:rsid w:val="00B04C46"/>
    <w:rsid w:val="00B04ECD"/>
    <w:rsid w:val="00B05869"/>
    <w:rsid w:val="00B058E2"/>
    <w:rsid w:val="00B0677D"/>
    <w:rsid w:val="00B06883"/>
    <w:rsid w:val="00B0695A"/>
    <w:rsid w:val="00B06E05"/>
    <w:rsid w:val="00B100C4"/>
    <w:rsid w:val="00B10B48"/>
    <w:rsid w:val="00B119CF"/>
    <w:rsid w:val="00B11A4A"/>
    <w:rsid w:val="00B12D5D"/>
    <w:rsid w:val="00B131EB"/>
    <w:rsid w:val="00B1343F"/>
    <w:rsid w:val="00B1452B"/>
    <w:rsid w:val="00B16353"/>
    <w:rsid w:val="00B16367"/>
    <w:rsid w:val="00B16B55"/>
    <w:rsid w:val="00B17408"/>
    <w:rsid w:val="00B1749D"/>
    <w:rsid w:val="00B2013B"/>
    <w:rsid w:val="00B206D8"/>
    <w:rsid w:val="00B209CB"/>
    <w:rsid w:val="00B20A6C"/>
    <w:rsid w:val="00B215CF"/>
    <w:rsid w:val="00B2166D"/>
    <w:rsid w:val="00B22905"/>
    <w:rsid w:val="00B25031"/>
    <w:rsid w:val="00B2574E"/>
    <w:rsid w:val="00B259C6"/>
    <w:rsid w:val="00B25A69"/>
    <w:rsid w:val="00B270B3"/>
    <w:rsid w:val="00B271C6"/>
    <w:rsid w:val="00B317F7"/>
    <w:rsid w:val="00B318B8"/>
    <w:rsid w:val="00B319C3"/>
    <w:rsid w:val="00B3256E"/>
    <w:rsid w:val="00B33858"/>
    <w:rsid w:val="00B338E0"/>
    <w:rsid w:val="00B34236"/>
    <w:rsid w:val="00B3523B"/>
    <w:rsid w:val="00B355F0"/>
    <w:rsid w:val="00B36BF1"/>
    <w:rsid w:val="00B41201"/>
    <w:rsid w:val="00B417A1"/>
    <w:rsid w:val="00B41E8E"/>
    <w:rsid w:val="00B42D7C"/>
    <w:rsid w:val="00B43C96"/>
    <w:rsid w:val="00B44419"/>
    <w:rsid w:val="00B463F2"/>
    <w:rsid w:val="00B47F69"/>
    <w:rsid w:val="00B50320"/>
    <w:rsid w:val="00B50DC5"/>
    <w:rsid w:val="00B50FB2"/>
    <w:rsid w:val="00B5175E"/>
    <w:rsid w:val="00B51A65"/>
    <w:rsid w:val="00B51DFA"/>
    <w:rsid w:val="00B5300D"/>
    <w:rsid w:val="00B53428"/>
    <w:rsid w:val="00B53D7B"/>
    <w:rsid w:val="00B546C5"/>
    <w:rsid w:val="00B55B08"/>
    <w:rsid w:val="00B57DE4"/>
    <w:rsid w:val="00B6130B"/>
    <w:rsid w:val="00B62BD3"/>
    <w:rsid w:val="00B6359B"/>
    <w:rsid w:val="00B6543F"/>
    <w:rsid w:val="00B65F8A"/>
    <w:rsid w:val="00B67E59"/>
    <w:rsid w:val="00B67FDF"/>
    <w:rsid w:val="00B710D6"/>
    <w:rsid w:val="00B713E0"/>
    <w:rsid w:val="00B72C6E"/>
    <w:rsid w:val="00B74E01"/>
    <w:rsid w:val="00B75D65"/>
    <w:rsid w:val="00B770D3"/>
    <w:rsid w:val="00B803B8"/>
    <w:rsid w:val="00B81535"/>
    <w:rsid w:val="00B81E06"/>
    <w:rsid w:val="00B81E15"/>
    <w:rsid w:val="00B81E66"/>
    <w:rsid w:val="00B82892"/>
    <w:rsid w:val="00B831B2"/>
    <w:rsid w:val="00B83A01"/>
    <w:rsid w:val="00B8480A"/>
    <w:rsid w:val="00B84E17"/>
    <w:rsid w:val="00B851B8"/>
    <w:rsid w:val="00B872A4"/>
    <w:rsid w:val="00B901EA"/>
    <w:rsid w:val="00B923EA"/>
    <w:rsid w:val="00B928CD"/>
    <w:rsid w:val="00B92A6C"/>
    <w:rsid w:val="00B92CA4"/>
    <w:rsid w:val="00B930F0"/>
    <w:rsid w:val="00B9394F"/>
    <w:rsid w:val="00B93BC1"/>
    <w:rsid w:val="00B96671"/>
    <w:rsid w:val="00B97700"/>
    <w:rsid w:val="00B97FC8"/>
    <w:rsid w:val="00BA106D"/>
    <w:rsid w:val="00BA15BC"/>
    <w:rsid w:val="00BA1874"/>
    <w:rsid w:val="00BA275C"/>
    <w:rsid w:val="00BA2E85"/>
    <w:rsid w:val="00BA3A7C"/>
    <w:rsid w:val="00BA3BC2"/>
    <w:rsid w:val="00BA3D6C"/>
    <w:rsid w:val="00BA421F"/>
    <w:rsid w:val="00BA4E06"/>
    <w:rsid w:val="00BA688F"/>
    <w:rsid w:val="00BA79E9"/>
    <w:rsid w:val="00BB00A8"/>
    <w:rsid w:val="00BB04B2"/>
    <w:rsid w:val="00BB267E"/>
    <w:rsid w:val="00BB274B"/>
    <w:rsid w:val="00BB2D1D"/>
    <w:rsid w:val="00BB2D62"/>
    <w:rsid w:val="00BB36C7"/>
    <w:rsid w:val="00BB37BE"/>
    <w:rsid w:val="00BB4956"/>
    <w:rsid w:val="00BB4B6D"/>
    <w:rsid w:val="00BB4BC7"/>
    <w:rsid w:val="00BB52CD"/>
    <w:rsid w:val="00BB60E8"/>
    <w:rsid w:val="00BB611C"/>
    <w:rsid w:val="00BB61B3"/>
    <w:rsid w:val="00BC0446"/>
    <w:rsid w:val="00BC0A81"/>
    <w:rsid w:val="00BC12E9"/>
    <w:rsid w:val="00BC185E"/>
    <w:rsid w:val="00BC292D"/>
    <w:rsid w:val="00BC37F0"/>
    <w:rsid w:val="00BC3C7C"/>
    <w:rsid w:val="00BC5565"/>
    <w:rsid w:val="00BC5FB3"/>
    <w:rsid w:val="00BC69C2"/>
    <w:rsid w:val="00BC7C96"/>
    <w:rsid w:val="00BD064D"/>
    <w:rsid w:val="00BD0891"/>
    <w:rsid w:val="00BD3AA1"/>
    <w:rsid w:val="00BD440F"/>
    <w:rsid w:val="00BD6BC5"/>
    <w:rsid w:val="00BD7C6C"/>
    <w:rsid w:val="00BE0361"/>
    <w:rsid w:val="00BE121F"/>
    <w:rsid w:val="00BE179B"/>
    <w:rsid w:val="00BE22A2"/>
    <w:rsid w:val="00BE341E"/>
    <w:rsid w:val="00BE399A"/>
    <w:rsid w:val="00BE4113"/>
    <w:rsid w:val="00BE4460"/>
    <w:rsid w:val="00BE5965"/>
    <w:rsid w:val="00BE626E"/>
    <w:rsid w:val="00BE666C"/>
    <w:rsid w:val="00BE6A08"/>
    <w:rsid w:val="00BE71EA"/>
    <w:rsid w:val="00BE76FA"/>
    <w:rsid w:val="00BE7761"/>
    <w:rsid w:val="00BE7D64"/>
    <w:rsid w:val="00BF0D51"/>
    <w:rsid w:val="00BF0EE2"/>
    <w:rsid w:val="00BF1D08"/>
    <w:rsid w:val="00BF3D15"/>
    <w:rsid w:val="00BF4655"/>
    <w:rsid w:val="00BF4D3E"/>
    <w:rsid w:val="00BF54BF"/>
    <w:rsid w:val="00BF5E32"/>
    <w:rsid w:val="00BF6E96"/>
    <w:rsid w:val="00C00F6A"/>
    <w:rsid w:val="00C02614"/>
    <w:rsid w:val="00C02B6A"/>
    <w:rsid w:val="00C02DB0"/>
    <w:rsid w:val="00C03303"/>
    <w:rsid w:val="00C04182"/>
    <w:rsid w:val="00C04418"/>
    <w:rsid w:val="00C04488"/>
    <w:rsid w:val="00C04945"/>
    <w:rsid w:val="00C05007"/>
    <w:rsid w:val="00C05E98"/>
    <w:rsid w:val="00C069D7"/>
    <w:rsid w:val="00C07920"/>
    <w:rsid w:val="00C07E8E"/>
    <w:rsid w:val="00C10C3C"/>
    <w:rsid w:val="00C11061"/>
    <w:rsid w:val="00C12AB1"/>
    <w:rsid w:val="00C13078"/>
    <w:rsid w:val="00C1344F"/>
    <w:rsid w:val="00C13C3C"/>
    <w:rsid w:val="00C13CC2"/>
    <w:rsid w:val="00C13DFF"/>
    <w:rsid w:val="00C1557C"/>
    <w:rsid w:val="00C15D4C"/>
    <w:rsid w:val="00C15E9B"/>
    <w:rsid w:val="00C16184"/>
    <w:rsid w:val="00C17807"/>
    <w:rsid w:val="00C2062F"/>
    <w:rsid w:val="00C20C32"/>
    <w:rsid w:val="00C20CD0"/>
    <w:rsid w:val="00C21C45"/>
    <w:rsid w:val="00C23072"/>
    <w:rsid w:val="00C232DB"/>
    <w:rsid w:val="00C23640"/>
    <w:rsid w:val="00C2558E"/>
    <w:rsid w:val="00C26090"/>
    <w:rsid w:val="00C30B13"/>
    <w:rsid w:val="00C312B2"/>
    <w:rsid w:val="00C31803"/>
    <w:rsid w:val="00C32F00"/>
    <w:rsid w:val="00C3338F"/>
    <w:rsid w:val="00C346B6"/>
    <w:rsid w:val="00C34AE1"/>
    <w:rsid w:val="00C35C42"/>
    <w:rsid w:val="00C37427"/>
    <w:rsid w:val="00C375C4"/>
    <w:rsid w:val="00C407FF"/>
    <w:rsid w:val="00C4088E"/>
    <w:rsid w:val="00C40972"/>
    <w:rsid w:val="00C40AAA"/>
    <w:rsid w:val="00C40EF7"/>
    <w:rsid w:val="00C40EFA"/>
    <w:rsid w:val="00C41635"/>
    <w:rsid w:val="00C4271D"/>
    <w:rsid w:val="00C42B98"/>
    <w:rsid w:val="00C42EDC"/>
    <w:rsid w:val="00C43B46"/>
    <w:rsid w:val="00C442C2"/>
    <w:rsid w:val="00C45B1D"/>
    <w:rsid w:val="00C463BF"/>
    <w:rsid w:val="00C4679C"/>
    <w:rsid w:val="00C46B95"/>
    <w:rsid w:val="00C46BF8"/>
    <w:rsid w:val="00C46E6F"/>
    <w:rsid w:val="00C46FD9"/>
    <w:rsid w:val="00C500D1"/>
    <w:rsid w:val="00C5144A"/>
    <w:rsid w:val="00C52E0F"/>
    <w:rsid w:val="00C53AA3"/>
    <w:rsid w:val="00C541C7"/>
    <w:rsid w:val="00C54B1B"/>
    <w:rsid w:val="00C550C5"/>
    <w:rsid w:val="00C55283"/>
    <w:rsid w:val="00C55560"/>
    <w:rsid w:val="00C55894"/>
    <w:rsid w:val="00C55F71"/>
    <w:rsid w:val="00C5703A"/>
    <w:rsid w:val="00C5713E"/>
    <w:rsid w:val="00C57A8C"/>
    <w:rsid w:val="00C60892"/>
    <w:rsid w:val="00C61C03"/>
    <w:rsid w:val="00C62281"/>
    <w:rsid w:val="00C63D01"/>
    <w:rsid w:val="00C6493E"/>
    <w:rsid w:val="00C64C9C"/>
    <w:rsid w:val="00C6542B"/>
    <w:rsid w:val="00C65899"/>
    <w:rsid w:val="00C66DCF"/>
    <w:rsid w:val="00C70D65"/>
    <w:rsid w:val="00C714CF"/>
    <w:rsid w:val="00C714DE"/>
    <w:rsid w:val="00C73311"/>
    <w:rsid w:val="00C74217"/>
    <w:rsid w:val="00C74257"/>
    <w:rsid w:val="00C747E7"/>
    <w:rsid w:val="00C753B4"/>
    <w:rsid w:val="00C75428"/>
    <w:rsid w:val="00C75CA1"/>
    <w:rsid w:val="00C776F8"/>
    <w:rsid w:val="00C80215"/>
    <w:rsid w:val="00C80F25"/>
    <w:rsid w:val="00C81FD2"/>
    <w:rsid w:val="00C82D72"/>
    <w:rsid w:val="00C842CE"/>
    <w:rsid w:val="00C84789"/>
    <w:rsid w:val="00C85818"/>
    <w:rsid w:val="00C8769E"/>
    <w:rsid w:val="00C87810"/>
    <w:rsid w:val="00C901AC"/>
    <w:rsid w:val="00C905BB"/>
    <w:rsid w:val="00C9103E"/>
    <w:rsid w:val="00C91506"/>
    <w:rsid w:val="00C9176A"/>
    <w:rsid w:val="00C91C0A"/>
    <w:rsid w:val="00C91E83"/>
    <w:rsid w:val="00C91F79"/>
    <w:rsid w:val="00C928CE"/>
    <w:rsid w:val="00C928F5"/>
    <w:rsid w:val="00C92BE2"/>
    <w:rsid w:val="00C92FE4"/>
    <w:rsid w:val="00C938B1"/>
    <w:rsid w:val="00C93924"/>
    <w:rsid w:val="00C93959"/>
    <w:rsid w:val="00C95388"/>
    <w:rsid w:val="00C957EC"/>
    <w:rsid w:val="00C95C30"/>
    <w:rsid w:val="00C96127"/>
    <w:rsid w:val="00C96A07"/>
    <w:rsid w:val="00C96B35"/>
    <w:rsid w:val="00C97090"/>
    <w:rsid w:val="00C974C5"/>
    <w:rsid w:val="00C977F3"/>
    <w:rsid w:val="00C97AD1"/>
    <w:rsid w:val="00C97C93"/>
    <w:rsid w:val="00CA0FE4"/>
    <w:rsid w:val="00CA17BC"/>
    <w:rsid w:val="00CA39BF"/>
    <w:rsid w:val="00CA4221"/>
    <w:rsid w:val="00CA4253"/>
    <w:rsid w:val="00CA4E8F"/>
    <w:rsid w:val="00CA7B73"/>
    <w:rsid w:val="00CB1E72"/>
    <w:rsid w:val="00CB2DF4"/>
    <w:rsid w:val="00CB364A"/>
    <w:rsid w:val="00CB4A24"/>
    <w:rsid w:val="00CB5C03"/>
    <w:rsid w:val="00CB5CFD"/>
    <w:rsid w:val="00CB64C4"/>
    <w:rsid w:val="00CB7EC2"/>
    <w:rsid w:val="00CC02CC"/>
    <w:rsid w:val="00CC0392"/>
    <w:rsid w:val="00CC0E38"/>
    <w:rsid w:val="00CC0E62"/>
    <w:rsid w:val="00CC0E82"/>
    <w:rsid w:val="00CC0F66"/>
    <w:rsid w:val="00CC12B6"/>
    <w:rsid w:val="00CC1B28"/>
    <w:rsid w:val="00CC21C3"/>
    <w:rsid w:val="00CC28D9"/>
    <w:rsid w:val="00CC2B7F"/>
    <w:rsid w:val="00CC3483"/>
    <w:rsid w:val="00CC36BC"/>
    <w:rsid w:val="00CC42D2"/>
    <w:rsid w:val="00CC4F75"/>
    <w:rsid w:val="00CC5258"/>
    <w:rsid w:val="00CC60F6"/>
    <w:rsid w:val="00CC70B6"/>
    <w:rsid w:val="00CC72A6"/>
    <w:rsid w:val="00CC7DA1"/>
    <w:rsid w:val="00CC7FC1"/>
    <w:rsid w:val="00CD0636"/>
    <w:rsid w:val="00CD08D4"/>
    <w:rsid w:val="00CD10B4"/>
    <w:rsid w:val="00CD23AB"/>
    <w:rsid w:val="00CD32E8"/>
    <w:rsid w:val="00CD42B5"/>
    <w:rsid w:val="00CD473C"/>
    <w:rsid w:val="00CD4E1F"/>
    <w:rsid w:val="00CD5CCF"/>
    <w:rsid w:val="00CD603C"/>
    <w:rsid w:val="00CD60EC"/>
    <w:rsid w:val="00CD69FB"/>
    <w:rsid w:val="00CE11B5"/>
    <w:rsid w:val="00CE271A"/>
    <w:rsid w:val="00CE2970"/>
    <w:rsid w:val="00CE2B59"/>
    <w:rsid w:val="00CE3AC0"/>
    <w:rsid w:val="00CE4FEA"/>
    <w:rsid w:val="00CE51BC"/>
    <w:rsid w:val="00CE5D6B"/>
    <w:rsid w:val="00CE6431"/>
    <w:rsid w:val="00CE7723"/>
    <w:rsid w:val="00CE7E98"/>
    <w:rsid w:val="00CF0361"/>
    <w:rsid w:val="00CF2EF0"/>
    <w:rsid w:val="00CF34DD"/>
    <w:rsid w:val="00CF4A18"/>
    <w:rsid w:val="00CF4A19"/>
    <w:rsid w:val="00CF5941"/>
    <w:rsid w:val="00CF67FE"/>
    <w:rsid w:val="00CF7CEB"/>
    <w:rsid w:val="00CF7DAE"/>
    <w:rsid w:val="00CF7E46"/>
    <w:rsid w:val="00D0031C"/>
    <w:rsid w:val="00D01120"/>
    <w:rsid w:val="00D01432"/>
    <w:rsid w:val="00D0227B"/>
    <w:rsid w:val="00D02835"/>
    <w:rsid w:val="00D02D63"/>
    <w:rsid w:val="00D055B7"/>
    <w:rsid w:val="00D057E6"/>
    <w:rsid w:val="00D06654"/>
    <w:rsid w:val="00D06D68"/>
    <w:rsid w:val="00D078AF"/>
    <w:rsid w:val="00D12411"/>
    <w:rsid w:val="00D126F4"/>
    <w:rsid w:val="00D12AA8"/>
    <w:rsid w:val="00D13068"/>
    <w:rsid w:val="00D1307B"/>
    <w:rsid w:val="00D15795"/>
    <w:rsid w:val="00D15D49"/>
    <w:rsid w:val="00D15E77"/>
    <w:rsid w:val="00D16689"/>
    <w:rsid w:val="00D2121B"/>
    <w:rsid w:val="00D2150F"/>
    <w:rsid w:val="00D24316"/>
    <w:rsid w:val="00D25B2A"/>
    <w:rsid w:val="00D260E1"/>
    <w:rsid w:val="00D26A7C"/>
    <w:rsid w:val="00D26D9D"/>
    <w:rsid w:val="00D27112"/>
    <w:rsid w:val="00D271C8"/>
    <w:rsid w:val="00D272DB"/>
    <w:rsid w:val="00D306AD"/>
    <w:rsid w:val="00D30E81"/>
    <w:rsid w:val="00D31131"/>
    <w:rsid w:val="00D32347"/>
    <w:rsid w:val="00D32A00"/>
    <w:rsid w:val="00D33CFF"/>
    <w:rsid w:val="00D36552"/>
    <w:rsid w:val="00D3687D"/>
    <w:rsid w:val="00D369E5"/>
    <w:rsid w:val="00D370A9"/>
    <w:rsid w:val="00D37ACD"/>
    <w:rsid w:val="00D403F7"/>
    <w:rsid w:val="00D4095F"/>
    <w:rsid w:val="00D40B88"/>
    <w:rsid w:val="00D410DC"/>
    <w:rsid w:val="00D4124B"/>
    <w:rsid w:val="00D41433"/>
    <w:rsid w:val="00D42978"/>
    <w:rsid w:val="00D43148"/>
    <w:rsid w:val="00D434A5"/>
    <w:rsid w:val="00D43DEB"/>
    <w:rsid w:val="00D454A1"/>
    <w:rsid w:val="00D45E5D"/>
    <w:rsid w:val="00D4625B"/>
    <w:rsid w:val="00D4686E"/>
    <w:rsid w:val="00D475F5"/>
    <w:rsid w:val="00D47CBD"/>
    <w:rsid w:val="00D47E72"/>
    <w:rsid w:val="00D5070D"/>
    <w:rsid w:val="00D5198F"/>
    <w:rsid w:val="00D522D7"/>
    <w:rsid w:val="00D52AFF"/>
    <w:rsid w:val="00D5501B"/>
    <w:rsid w:val="00D57D53"/>
    <w:rsid w:val="00D60582"/>
    <w:rsid w:val="00D60BB8"/>
    <w:rsid w:val="00D61884"/>
    <w:rsid w:val="00D6352E"/>
    <w:rsid w:val="00D6355A"/>
    <w:rsid w:val="00D63BEC"/>
    <w:rsid w:val="00D6479B"/>
    <w:rsid w:val="00D647C7"/>
    <w:rsid w:val="00D648CE"/>
    <w:rsid w:val="00D6519A"/>
    <w:rsid w:val="00D6675C"/>
    <w:rsid w:val="00D67DDE"/>
    <w:rsid w:val="00D700B9"/>
    <w:rsid w:val="00D70320"/>
    <w:rsid w:val="00D703B0"/>
    <w:rsid w:val="00D718C9"/>
    <w:rsid w:val="00D718D9"/>
    <w:rsid w:val="00D7209E"/>
    <w:rsid w:val="00D73323"/>
    <w:rsid w:val="00D74E2C"/>
    <w:rsid w:val="00D762FA"/>
    <w:rsid w:val="00D76AFD"/>
    <w:rsid w:val="00D77B42"/>
    <w:rsid w:val="00D8147E"/>
    <w:rsid w:val="00D817E3"/>
    <w:rsid w:val="00D841CA"/>
    <w:rsid w:val="00D84919"/>
    <w:rsid w:val="00D84F0F"/>
    <w:rsid w:val="00D85746"/>
    <w:rsid w:val="00D86B98"/>
    <w:rsid w:val="00D87AED"/>
    <w:rsid w:val="00D87B53"/>
    <w:rsid w:val="00D906BA"/>
    <w:rsid w:val="00D91914"/>
    <w:rsid w:val="00D91AB8"/>
    <w:rsid w:val="00D92610"/>
    <w:rsid w:val="00D92836"/>
    <w:rsid w:val="00D92B6C"/>
    <w:rsid w:val="00D9335D"/>
    <w:rsid w:val="00D94DA1"/>
    <w:rsid w:val="00D94E84"/>
    <w:rsid w:val="00D95604"/>
    <w:rsid w:val="00D9566F"/>
    <w:rsid w:val="00D959E9"/>
    <w:rsid w:val="00D961D2"/>
    <w:rsid w:val="00D964E2"/>
    <w:rsid w:val="00D96F17"/>
    <w:rsid w:val="00D97A0A"/>
    <w:rsid w:val="00D97CA3"/>
    <w:rsid w:val="00DA0595"/>
    <w:rsid w:val="00DA08A3"/>
    <w:rsid w:val="00DA1046"/>
    <w:rsid w:val="00DA16D8"/>
    <w:rsid w:val="00DA3076"/>
    <w:rsid w:val="00DA38AC"/>
    <w:rsid w:val="00DA5A83"/>
    <w:rsid w:val="00DA68AF"/>
    <w:rsid w:val="00DB08B4"/>
    <w:rsid w:val="00DB0B38"/>
    <w:rsid w:val="00DB1A34"/>
    <w:rsid w:val="00DB1F0A"/>
    <w:rsid w:val="00DB272D"/>
    <w:rsid w:val="00DB2CEF"/>
    <w:rsid w:val="00DB361D"/>
    <w:rsid w:val="00DB503F"/>
    <w:rsid w:val="00DB5F39"/>
    <w:rsid w:val="00DB6093"/>
    <w:rsid w:val="00DB645C"/>
    <w:rsid w:val="00DB684A"/>
    <w:rsid w:val="00DB7559"/>
    <w:rsid w:val="00DB7B4E"/>
    <w:rsid w:val="00DC015D"/>
    <w:rsid w:val="00DC0CAE"/>
    <w:rsid w:val="00DC0D14"/>
    <w:rsid w:val="00DC1450"/>
    <w:rsid w:val="00DC2D64"/>
    <w:rsid w:val="00DC44CA"/>
    <w:rsid w:val="00DC4F1A"/>
    <w:rsid w:val="00DC55F1"/>
    <w:rsid w:val="00DC643B"/>
    <w:rsid w:val="00DC6F29"/>
    <w:rsid w:val="00DC7616"/>
    <w:rsid w:val="00DC77C5"/>
    <w:rsid w:val="00DC7854"/>
    <w:rsid w:val="00DC7B09"/>
    <w:rsid w:val="00DC7D38"/>
    <w:rsid w:val="00DD0AC6"/>
    <w:rsid w:val="00DD0F32"/>
    <w:rsid w:val="00DD17E6"/>
    <w:rsid w:val="00DD2463"/>
    <w:rsid w:val="00DD294D"/>
    <w:rsid w:val="00DD2B74"/>
    <w:rsid w:val="00DD2E5B"/>
    <w:rsid w:val="00DD31FF"/>
    <w:rsid w:val="00DD39D7"/>
    <w:rsid w:val="00DD3CE9"/>
    <w:rsid w:val="00DD4309"/>
    <w:rsid w:val="00DD4A9A"/>
    <w:rsid w:val="00DD56B2"/>
    <w:rsid w:val="00DD7E59"/>
    <w:rsid w:val="00DE0642"/>
    <w:rsid w:val="00DE140A"/>
    <w:rsid w:val="00DE183E"/>
    <w:rsid w:val="00DE1D1B"/>
    <w:rsid w:val="00DE2FAF"/>
    <w:rsid w:val="00DE2FE8"/>
    <w:rsid w:val="00DE3838"/>
    <w:rsid w:val="00DE3EC0"/>
    <w:rsid w:val="00DE4155"/>
    <w:rsid w:val="00DE4228"/>
    <w:rsid w:val="00DE453B"/>
    <w:rsid w:val="00DE45D0"/>
    <w:rsid w:val="00DE6852"/>
    <w:rsid w:val="00DE6D87"/>
    <w:rsid w:val="00DE7288"/>
    <w:rsid w:val="00DE737E"/>
    <w:rsid w:val="00DE7917"/>
    <w:rsid w:val="00DE79D6"/>
    <w:rsid w:val="00DF22EF"/>
    <w:rsid w:val="00DF335F"/>
    <w:rsid w:val="00DF35DF"/>
    <w:rsid w:val="00DF3971"/>
    <w:rsid w:val="00DF5201"/>
    <w:rsid w:val="00DF52F1"/>
    <w:rsid w:val="00DF55E9"/>
    <w:rsid w:val="00DF56C0"/>
    <w:rsid w:val="00E01260"/>
    <w:rsid w:val="00E01BB2"/>
    <w:rsid w:val="00E01FE3"/>
    <w:rsid w:val="00E01FFD"/>
    <w:rsid w:val="00E03584"/>
    <w:rsid w:val="00E04F13"/>
    <w:rsid w:val="00E052F0"/>
    <w:rsid w:val="00E0570F"/>
    <w:rsid w:val="00E05CDC"/>
    <w:rsid w:val="00E07204"/>
    <w:rsid w:val="00E07223"/>
    <w:rsid w:val="00E078FE"/>
    <w:rsid w:val="00E07917"/>
    <w:rsid w:val="00E10186"/>
    <w:rsid w:val="00E1039A"/>
    <w:rsid w:val="00E1142D"/>
    <w:rsid w:val="00E12CC2"/>
    <w:rsid w:val="00E13131"/>
    <w:rsid w:val="00E13817"/>
    <w:rsid w:val="00E13C3A"/>
    <w:rsid w:val="00E14FE4"/>
    <w:rsid w:val="00E1502B"/>
    <w:rsid w:val="00E15E15"/>
    <w:rsid w:val="00E15ED7"/>
    <w:rsid w:val="00E16A14"/>
    <w:rsid w:val="00E24DBD"/>
    <w:rsid w:val="00E24E8C"/>
    <w:rsid w:val="00E251EA"/>
    <w:rsid w:val="00E25D8D"/>
    <w:rsid w:val="00E26508"/>
    <w:rsid w:val="00E26EA1"/>
    <w:rsid w:val="00E323FE"/>
    <w:rsid w:val="00E329C7"/>
    <w:rsid w:val="00E329C9"/>
    <w:rsid w:val="00E33161"/>
    <w:rsid w:val="00E33247"/>
    <w:rsid w:val="00E339CC"/>
    <w:rsid w:val="00E348B1"/>
    <w:rsid w:val="00E351B8"/>
    <w:rsid w:val="00E37C07"/>
    <w:rsid w:val="00E413E0"/>
    <w:rsid w:val="00E418A1"/>
    <w:rsid w:val="00E42A12"/>
    <w:rsid w:val="00E42FF6"/>
    <w:rsid w:val="00E43678"/>
    <w:rsid w:val="00E43BAB"/>
    <w:rsid w:val="00E43FD8"/>
    <w:rsid w:val="00E45546"/>
    <w:rsid w:val="00E4633A"/>
    <w:rsid w:val="00E46681"/>
    <w:rsid w:val="00E46B10"/>
    <w:rsid w:val="00E5094F"/>
    <w:rsid w:val="00E50DBB"/>
    <w:rsid w:val="00E5166C"/>
    <w:rsid w:val="00E51A01"/>
    <w:rsid w:val="00E51B51"/>
    <w:rsid w:val="00E51BFF"/>
    <w:rsid w:val="00E5262A"/>
    <w:rsid w:val="00E535EF"/>
    <w:rsid w:val="00E537E9"/>
    <w:rsid w:val="00E53A13"/>
    <w:rsid w:val="00E5626A"/>
    <w:rsid w:val="00E56274"/>
    <w:rsid w:val="00E56982"/>
    <w:rsid w:val="00E57752"/>
    <w:rsid w:val="00E57A12"/>
    <w:rsid w:val="00E57AEE"/>
    <w:rsid w:val="00E618B6"/>
    <w:rsid w:val="00E61DFF"/>
    <w:rsid w:val="00E62143"/>
    <w:rsid w:val="00E624C3"/>
    <w:rsid w:val="00E625CD"/>
    <w:rsid w:val="00E62860"/>
    <w:rsid w:val="00E6297E"/>
    <w:rsid w:val="00E6321B"/>
    <w:rsid w:val="00E64040"/>
    <w:rsid w:val="00E643B7"/>
    <w:rsid w:val="00E647DF"/>
    <w:rsid w:val="00E64905"/>
    <w:rsid w:val="00E64C04"/>
    <w:rsid w:val="00E668DE"/>
    <w:rsid w:val="00E66A0C"/>
    <w:rsid w:val="00E70871"/>
    <w:rsid w:val="00E70DB3"/>
    <w:rsid w:val="00E71539"/>
    <w:rsid w:val="00E71676"/>
    <w:rsid w:val="00E73944"/>
    <w:rsid w:val="00E73DCD"/>
    <w:rsid w:val="00E73E04"/>
    <w:rsid w:val="00E74F8C"/>
    <w:rsid w:val="00E753A5"/>
    <w:rsid w:val="00E75C18"/>
    <w:rsid w:val="00E76716"/>
    <w:rsid w:val="00E76F6B"/>
    <w:rsid w:val="00E77D78"/>
    <w:rsid w:val="00E77F3F"/>
    <w:rsid w:val="00E80822"/>
    <w:rsid w:val="00E80861"/>
    <w:rsid w:val="00E80E25"/>
    <w:rsid w:val="00E818B3"/>
    <w:rsid w:val="00E82729"/>
    <w:rsid w:val="00E849CC"/>
    <w:rsid w:val="00E85310"/>
    <w:rsid w:val="00E873E7"/>
    <w:rsid w:val="00E90024"/>
    <w:rsid w:val="00E901AC"/>
    <w:rsid w:val="00E90223"/>
    <w:rsid w:val="00E91372"/>
    <w:rsid w:val="00E92B07"/>
    <w:rsid w:val="00E94080"/>
    <w:rsid w:val="00E9431B"/>
    <w:rsid w:val="00E944DE"/>
    <w:rsid w:val="00E94FA4"/>
    <w:rsid w:val="00E95CE5"/>
    <w:rsid w:val="00E95E1B"/>
    <w:rsid w:val="00E96ABB"/>
    <w:rsid w:val="00EA0940"/>
    <w:rsid w:val="00EA0995"/>
    <w:rsid w:val="00EA0CB2"/>
    <w:rsid w:val="00EA0F5A"/>
    <w:rsid w:val="00EA16A8"/>
    <w:rsid w:val="00EA1859"/>
    <w:rsid w:val="00EA1B6F"/>
    <w:rsid w:val="00EA22FB"/>
    <w:rsid w:val="00EA3687"/>
    <w:rsid w:val="00EA3F35"/>
    <w:rsid w:val="00EA4069"/>
    <w:rsid w:val="00EA4213"/>
    <w:rsid w:val="00EA441E"/>
    <w:rsid w:val="00EA76A1"/>
    <w:rsid w:val="00EB000B"/>
    <w:rsid w:val="00EB0DD6"/>
    <w:rsid w:val="00EB1772"/>
    <w:rsid w:val="00EB3A7D"/>
    <w:rsid w:val="00EB4B04"/>
    <w:rsid w:val="00EB5157"/>
    <w:rsid w:val="00EB566B"/>
    <w:rsid w:val="00EB60DD"/>
    <w:rsid w:val="00EB6EA3"/>
    <w:rsid w:val="00EB710F"/>
    <w:rsid w:val="00EB7BB3"/>
    <w:rsid w:val="00EB7D88"/>
    <w:rsid w:val="00EC1986"/>
    <w:rsid w:val="00EC47B3"/>
    <w:rsid w:val="00EC4B24"/>
    <w:rsid w:val="00EC510A"/>
    <w:rsid w:val="00EC523D"/>
    <w:rsid w:val="00EC6978"/>
    <w:rsid w:val="00EC7A72"/>
    <w:rsid w:val="00ED0249"/>
    <w:rsid w:val="00ED0355"/>
    <w:rsid w:val="00ED036B"/>
    <w:rsid w:val="00ED04C0"/>
    <w:rsid w:val="00ED0BFA"/>
    <w:rsid w:val="00ED0DBD"/>
    <w:rsid w:val="00ED14CF"/>
    <w:rsid w:val="00ED1AF0"/>
    <w:rsid w:val="00ED443E"/>
    <w:rsid w:val="00ED4C10"/>
    <w:rsid w:val="00ED5D4F"/>
    <w:rsid w:val="00ED6556"/>
    <w:rsid w:val="00EE010E"/>
    <w:rsid w:val="00EE049A"/>
    <w:rsid w:val="00EE15A2"/>
    <w:rsid w:val="00EE1CB3"/>
    <w:rsid w:val="00EE1CD4"/>
    <w:rsid w:val="00EE2E68"/>
    <w:rsid w:val="00EE3EB3"/>
    <w:rsid w:val="00EE48EF"/>
    <w:rsid w:val="00EE5837"/>
    <w:rsid w:val="00EE5D6F"/>
    <w:rsid w:val="00EE7419"/>
    <w:rsid w:val="00EE7499"/>
    <w:rsid w:val="00EF046D"/>
    <w:rsid w:val="00EF1331"/>
    <w:rsid w:val="00EF1984"/>
    <w:rsid w:val="00EF1BCD"/>
    <w:rsid w:val="00EF1F6B"/>
    <w:rsid w:val="00EF3646"/>
    <w:rsid w:val="00EF3863"/>
    <w:rsid w:val="00EF39D0"/>
    <w:rsid w:val="00EF3A31"/>
    <w:rsid w:val="00EF3FA9"/>
    <w:rsid w:val="00EF6810"/>
    <w:rsid w:val="00F0117E"/>
    <w:rsid w:val="00F02971"/>
    <w:rsid w:val="00F0298C"/>
    <w:rsid w:val="00F02A4F"/>
    <w:rsid w:val="00F042E6"/>
    <w:rsid w:val="00F0474F"/>
    <w:rsid w:val="00F04A23"/>
    <w:rsid w:val="00F0606B"/>
    <w:rsid w:val="00F06AEA"/>
    <w:rsid w:val="00F072DB"/>
    <w:rsid w:val="00F101AE"/>
    <w:rsid w:val="00F10393"/>
    <w:rsid w:val="00F10546"/>
    <w:rsid w:val="00F1065B"/>
    <w:rsid w:val="00F12040"/>
    <w:rsid w:val="00F126D1"/>
    <w:rsid w:val="00F12BB0"/>
    <w:rsid w:val="00F12F10"/>
    <w:rsid w:val="00F13594"/>
    <w:rsid w:val="00F1390C"/>
    <w:rsid w:val="00F13AA2"/>
    <w:rsid w:val="00F13DD0"/>
    <w:rsid w:val="00F15803"/>
    <w:rsid w:val="00F1676F"/>
    <w:rsid w:val="00F16A89"/>
    <w:rsid w:val="00F1738C"/>
    <w:rsid w:val="00F20A93"/>
    <w:rsid w:val="00F20C79"/>
    <w:rsid w:val="00F22A1B"/>
    <w:rsid w:val="00F22CE1"/>
    <w:rsid w:val="00F23413"/>
    <w:rsid w:val="00F239D8"/>
    <w:rsid w:val="00F24BA5"/>
    <w:rsid w:val="00F24DA1"/>
    <w:rsid w:val="00F251ED"/>
    <w:rsid w:val="00F25955"/>
    <w:rsid w:val="00F25B9C"/>
    <w:rsid w:val="00F26C78"/>
    <w:rsid w:val="00F26CDA"/>
    <w:rsid w:val="00F273D6"/>
    <w:rsid w:val="00F275FF"/>
    <w:rsid w:val="00F3019B"/>
    <w:rsid w:val="00F31ACA"/>
    <w:rsid w:val="00F31DB1"/>
    <w:rsid w:val="00F336DC"/>
    <w:rsid w:val="00F33C8A"/>
    <w:rsid w:val="00F34BFE"/>
    <w:rsid w:val="00F36600"/>
    <w:rsid w:val="00F36678"/>
    <w:rsid w:val="00F36EA2"/>
    <w:rsid w:val="00F43C15"/>
    <w:rsid w:val="00F4530F"/>
    <w:rsid w:val="00F455DD"/>
    <w:rsid w:val="00F456D4"/>
    <w:rsid w:val="00F46DC6"/>
    <w:rsid w:val="00F46F61"/>
    <w:rsid w:val="00F47982"/>
    <w:rsid w:val="00F50B4D"/>
    <w:rsid w:val="00F50D32"/>
    <w:rsid w:val="00F50E6C"/>
    <w:rsid w:val="00F5109B"/>
    <w:rsid w:val="00F51621"/>
    <w:rsid w:val="00F52591"/>
    <w:rsid w:val="00F53C88"/>
    <w:rsid w:val="00F54693"/>
    <w:rsid w:val="00F552A4"/>
    <w:rsid w:val="00F55433"/>
    <w:rsid w:val="00F56590"/>
    <w:rsid w:val="00F56F28"/>
    <w:rsid w:val="00F5701D"/>
    <w:rsid w:val="00F57111"/>
    <w:rsid w:val="00F57ECB"/>
    <w:rsid w:val="00F61875"/>
    <w:rsid w:val="00F61E8E"/>
    <w:rsid w:val="00F62C7C"/>
    <w:rsid w:val="00F65390"/>
    <w:rsid w:val="00F65437"/>
    <w:rsid w:val="00F65E92"/>
    <w:rsid w:val="00F669C4"/>
    <w:rsid w:val="00F66DF0"/>
    <w:rsid w:val="00F70A98"/>
    <w:rsid w:val="00F71C11"/>
    <w:rsid w:val="00F71C81"/>
    <w:rsid w:val="00F73200"/>
    <w:rsid w:val="00F7368C"/>
    <w:rsid w:val="00F73CBA"/>
    <w:rsid w:val="00F7531D"/>
    <w:rsid w:val="00F75A4A"/>
    <w:rsid w:val="00F77219"/>
    <w:rsid w:val="00F80149"/>
    <w:rsid w:val="00F804AC"/>
    <w:rsid w:val="00F8147F"/>
    <w:rsid w:val="00F826D7"/>
    <w:rsid w:val="00F82F8C"/>
    <w:rsid w:val="00F8326A"/>
    <w:rsid w:val="00F832C5"/>
    <w:rsid w:val="00F835A1"/>
    <w:rsid w:val="00F83705"/>
    <w:rsid w:val="00F84351"/>
    <w:rsid w:val="00F84886"/>
    <w:rsid w:val="00F84FC6"/>
    <w:rsid w:val="00F85A7D"/>
    <w:rsid w:val="00F863A5"/>
    <w:rsid w:val="00F86585"/>
    <w:rsid w:val="00F86EA7"/>
    <w:rsid w:val="00F86EF6"/>
    <w:rsid w:val="00F87514"/>
    <w:rsid w:val="00F87B1E"/>
    <w:rsid w:val="00F87D7D"/>
    <w:rsid w:val="00F90939"/>
    <w:rsid w:val="00F90DDF"/>
    <w:rsid w:val="00F90EB2"/>
    <w:rsid w:val="00F91C2C"/>
    <w:rsid w:val="00F9283E"/>
    <w:rsid w:val="00F93380"/>
    <w:rsid w:val="00F93476"/>
    <w:rsid w:val="00F9402E"/>
    <w:rsid w:val="00F941FA"/>
    <w:rsid w:val="00F95401"/>
    <w:rsid w:val="00F954A2"/>
    <w:rsid w:val="00F95FCD"/>
    <w:rsid w:val="00F96000"/>
    <w:rsid w:val="00F969F3"/>
    <w:rsid w:val="00F973E1"/>
    <w:rsid w:val="00F976BA"/>
    <w:rsid w:val="00F97DD7"/>
    <w:rsid w:val="00FA0008"/>
    <w:rsid w:val="00FA001E"/>
    <w:rsid w:val="00FA1DBA"/>
    <w:rsid w:val="00FA222B"/>
    <w:rsid w:val="00FA2F3C"/>
    <w:rsid w:val="00FA3476"/>
    <w:rsid w:val="00FA378A"/>
    <w:rsid w:val="00FA388C"/>
    <w:rsid w:val="00FA517C"/>
    <w:rsid w:val="00FA5B59"/>
    <w:rsid w:val="00FA66FF"/>
    <w:rsid w:val="00FB036D"/>
    <w:rsid w:val="00FB0F92"/>
    <w:rsid w:val="00FB10FC"/>
    <w:rsid w:val="00FB2F0E"/>
    <w:rsid w:val="00FB59B1"/>
    <w:rsid w:val="00FB5AF9"/>
    <w:rsid w:val="00FB7AC6"/>
    <w:rsid w:val="00FC020D"/>
    <w:rsid w:val="00FC1881"/>
    <w:rsid w:val="00FC1EE3"/>
    <w:rsid w:val="00FC2690"/>
    <w:rsid w:val="00FC2A5F"/>
    <w:rsid w:val="00FC419C"/>
    <w:rsid w:val="00FC41E2"/>
    <w:rsid w:val="00FC44DC"/>
    <w:rsid w:val="00FC4848"/>
    <w:rsid w:val="00FC4A65"/>
    <w:rsid w:val="00FC4E98"/>
    <w:rsid w:val="00FD05A5"/>
    <w:rsid w:val="00FD066E"/>
    <w:rsid w:val="00FD1773"/>
    <w:rsid w:val="00FD1A99"/>
    <w:rsid w:val="00FD321F"/>
    <w:rsid w:val="00FD353E"/>
    <w:rsid w:val="00FD4AC0"/>
    <w:rsid w:val="00FD5039"/>
    <w:rsid w:val="00FD51FD"/>
    <w:rsid w:val="00FD62C1"/>
    <w:rsid w:val="00FD6888"/>
    <w:rsid w:val="00FD7230"/>
    <w:rsid w:val="00FD7F77"/>
    <w:rsid w:val="00FE0020"/>
    <w:rsid w:val="00FE05B0"/>
    <w:rsid w:val="00FE0B1F"/>
    <w:rsid w:val="00FE15C3"/>
    <w:rsid w:val="00FE2ED9"/>
    <w:rsid w:val="00FE2FAD"/>
    <w:rsid w:val="00FE3242"/>
    <w:rsid w:val="00FE32BB"/>
    <w:rsid w:val="00FE33EA"/>
    <w:rsid w:val="00FE3744"/>
    <w:rsid w:val="00FE3EBC"/>
    <w:rsid w:val="00FE4F77"/>
    <w:rsid w:val="00FE526F"/>
    <w:rsid w:val="00FE56B6"/>
    <w:rsid w:val="00FE5E74"/>
    <w:rsid w:val="00FF2113"/>
    <w:rsid w:val="00FF4355"/>
    <w:rsid w:val="00FF5436"/>
    <w:rsid w:val="00FF5674"/>
    <w:rsid w:val="00FF5CAF"/>
    <w:rsid w:val="00FF655F"/>
    <w:rsid w:val="00FF6C59"/>
    <w:rsid w:val="00FF72EB"/>
    <w:rsid w:val="00FF7974"/>
    <w:rsid w:val="00FF7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BB8920"/>
  <w15:docId w15:val="{E2EB3DE4-695B-484A-8534-4B4224C9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258"/>
    <w:pPr>
      <w:spacing w:after="200" w:line="276" w:lineRule="auto"/>
    </w:pPr>
    <w:rPr>
      <w:rFonts w:ascii="Times New Roman" w:hAnsi="Times New Roman"/>
      <w:sz w:val="24"/>
      <w:szCs w:val="22"/>
      <w:lang w:eastAsia="en-US"/>
    </w:rPr>
  </w:style>
  <w:style w:type="paragraph" w:styleId="Heading1">
    <w:name w:val="heading 1"/>
    <w:basedOn w:val="Title"/>
    <w:next w:val="Normal"/>
    <w:link w:val="Heading1Char"/>
    <w:uiPriority w:val="9"/>
    <w:qFormat/>
    <w:rsid w:val="00550A65"/>
    <w:pPr>
      <w:tabs>
        <w:tab w:val="clear" w:pos="-1440"/>
        <w:tab w:val="clear" w:pos="-720"/>
        <w:tab w:val="clear" w:pos="828"/>
        <w:tab w:val="clear" w:pos="1044"/>
        <w:tab w:val="clear" w:pos="1260"/>
        <w:tab w:val="clear" w:pos="1476"/>
        <w:tab w:val="clear" w:pos="1692"/>
        <w:tab w:val="clear" w:pos="2160"/>
      </w:tabs>
      <w:spacing w:before="240" w:after="360"/>
      <w:outlineLvl w:val="0"/>
    </w:pPr>
    <w:rPr>
      <w:rFonts w:ascii="Times New Roman Bold" w:hAnsi="Times New Roman Bold"/>
      <w:bCs w:val="0"/>
      <w:caps/>
      <w:snapToGrid/>
      <w:szCs w:val="24"/>
    </w:rPr>
  </w:style>
  <w:style w:type="paragraph" w:styleId="Heading2">
    <w:name w:val="heading 2"/>
    <w:basedOn w:val="Normal"/>
    <w:next w:val="Normal"/>
    <w:link w:val="Heading2Char"/>
    <w:uiPriority w:val="9"/>
    <w:unhideWhenUsed/>
    <w:qFormat/>
    <w:rsid w:val="00A3237A"/>
    <w:pPr>
      <w:spacing w:before="240" w:after="240" w:line="240" w:lineRule="auto"/>
      <w:jc w:val="both"/>
      <w:outlineLvl w:val="1"/>
    </w:pPr>
    <w:rPr>
      <w:rFonts w:ascii="Times New Roman Bold" w:eastAsia="Times New Roman" w:hAnsi="Times New Roman Bold"/>
      <w:b/>
      <w:caps/>
      <w:szCs w:val="24"/>
      <w:lang w:eastAsia="en-GB"/>
    </w:rPr>
  </w:style>
  <w:style w:type="paragraph" w:styleId="Heading3">
    <w:name w:val="heading 3"/>
    <w:basedOn w:val="Normal"/>
    <w:next w:val="Normal"/>
    <w:link w:val="Heading3Char"/>
    <w:uiPriority w:val="9"/>
    <w:unhideWhenUsed/>
    <w:qFormat/>
    <w:rsid w:val="005506B9"/>
    <w:pPr>
      <w:spacing w:before="240" w:after="240" w:line="240" w:lineRule="auto"/>
      <w:jc w:val="both"/>
      <w:outlineLvl w:val="2"/>
    </w:pPr>
    <w:rPr>
      <w:rFonts w:eastAsia="Times New Roman"/>
      <w:b/>
      <w:spacing w:val="5"/>
      <w:szCs w:val="24"/>
      <w:lang w:eastAsia="en-GB"/>
    </w:rPr>
  </w:style>
  <w:style w:type="paragraph" w:styleId="Heading4">
    <w:name w:val="heading 4"/>
    <w:basedOn w:val="Normal"/>
    <w:next w:val="Normal"/>
    <w:link w:val="Heading4Char"/>
    <w:uiPriority w:val="9"/>
    <w:unhideWhenUsed/>
    <w:qFormat/>
    <w:rsid w:val="00550A65"/>
    <w:pPr>
      <w:tabs>
        <w:tab w:val="left" w:pos="1134"/>
      </w:tabs>
      <w:spacing w:before="240" w:after="120" w:line="240" w:lineRule="auto"/>
      <w:ind w:left="1134" w:hanging="1134"/>
      <w:jc w:val="both"/>
      <w:outlineLvl w:val="3"/>
    </w:pPr>
    <w:rPr>
      <w:rFonts w:eastAsia="Times New Roman"/>
      <w:b/>
      <w:szCs w:val="24"/>
      <w:u w:val="single"/>
      <w:lang w:eastAsia="en-GB"/>
    </w:rPr>
  </w:style>
  <w:style w:type="paragraph" w:styleId="Heading5">
    <w:name w:val="heading 5"/>
    <w:basedOn w:val="Normal"/>
    <w:next w:val="Normal"/>
    <w:link w:val="Heading5Char"/>
    <w:uiPriority w:val="9"/>
    <w:semiHidden/>
    <w:unhideWhenUsed/>
    <w:qFormat/>
    <w:rsid w:val="00550A65"/>
    <w:pPr>
      <w:spacing w:before="200" w:beforeAutospacing="1" w:after="0" w:afterAutospacing="1" w:line="240" w:lineRule="auto"/>
      <w:outlineLvl w:val="4"/>
    </w:pPr>
    <w:rPr>
      <w:rFonts w:eastAsia="Times New Roman"/>
      <w:smallCaps/>
      <w:color w:val="943634"/>
      <w:spacing w:val="10"/>
      <w:szCs w:val="26"/>
      <w:lang w:eastAsia="en-GB"/>
    </w:rPr>
  </w:style>
  <w:style w:type="paragraph" w:styleId="Heading6">
    <w:name w:val="heading 6"/>
    <w:basedOn w:val="Normal"/>
    <w:next w:val="Normal"/>
    <w:link w:val="Heading6Char"/>
    <w:uiPriority w:val="9"/>
    <w:semiHidden/>
    <w:unhideWhenUsed/>
    <w:qFormat/>
    <w:rsid w:val="00550A65"/>
    <w:pPr>
      <w:spacing w:before="100" w:beforeAutospacing="1" w:after="0" w:afterAutospacing="1" w:line="240" w:lineRule="auto"/>
      <w:outlineLvl w:val="5"/>
    </w:pPr>
    <w:rPr>
      <w:rFonts w:eastAsia="Times New Roman"/>
      <w:smallCaps/>
      <w:color w:val="C0504D"/>
      <w:spacing w:val="5"/>
      <w:szCs w:val="20"/>
      <w:lang w:eastAsia="en-GB"/>
    </w:rPr>
  </w:style>
  <w:style w:type="paragraph" w:styleId="Heading7">
    <w:name w:val="heading 7"/>
    <w:basedOn w:val="Normal"/>
    <w:next w:val="Normal"/>
    <w:link w:val="Heading7Char"/>
    <w:uiPriority w:val="9"/>
    <w:semiHidden/>
    <w:unhideWhenUsed/>
    <w:qFormat/>
    <w:rsid w:val="00550A65"/>
    <w:pPr>
      <w:spacing w:before="100" w:beforeAutospacing="1" w:after="0" w:afterAutospacing="1" w:line="240" w:lineRule="auto"/>
      <w:outlineLvl w:val="6"/>
    </w:pPr>
    <w:rPr>
      <w:rFonts w:eastAsia="Times New Roman"/>
      <w:b/>
      <w:smallCaps/>
      <w:color w:val="C0504D"/>
      <w:spacing w:val="10"/>
      <w:szCs w:val="20"/>
      <w:lang w:eastAsia="en-GB"/>
    </w:rPr>
  </w:style>
  <w:style w:type="paragraph" w:styleId="Heading8">
    <w:name w:val="heading 8"/>
    <w:basedOn w:val="Normal"/>
    <w:next w:val="Normal"/>
    <w:link w:val="Heading8Char"/>
    <w:uiPriority w:val="9"/>
    <w:semiHidden/>
    <w:unhideWhenUsed/>
    <w:qFormat/>
    <w:rsid w:val="00550A65"/>
    <w:pPr>
      <w:spacing w:before="100" w:beforeAutospacing="1" w:after="0" w:afterAutospacing="1" w:line="240" w:lineRule="auto"/>
      <w:outlineLvl w:val="7"/>
    </w:pPr>
    <w:rPr>
      <w:rFonts w:eastAsia="Times New Roman"/>
      <w:b/>
      <w:i/>
      <w:smallCaps/>
      <w:color w:val="943634"/>
      <w:szCs w:val="20"/>
      <w:lang w:eastAsia="en-GB"/>
    </w:rPr>
  </w:style>
  <w:style w:type="paragraph" w:styleId="Heading9">
    <w:name w:val="heading 9"/>
    <w:basedOn w:val="Normal"/>
    <w:next w:val="Normal"/>
    <w:link w:val="Heading9Char"/>
    <w:uiPriority w:val="9"/>
    <w:semiHidden/>
    <w:unhideWhenUsed/>
    <w:qFormat/>
    <w:rsid w:val="00550A65"/>
    <w:pPr>
      <w:spacing w:before="100" w:beforeAutospacing="1" w:after="0" w:afterAutospacing="1" w:line="240" w:lineRule="auto"/>
      <w:outlineLvl w:val="8"/>
    </w:pPr>
    <w:rPr>
      <w:rFonts w:eastAsia="Times New Roman"/>
      <w:b/>
      <w:i/>
      <w:smallCaps/>
      <w:color w:val="622423"/>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unhideWhenUsed/>
    <w:rsid w:val="009533DC"/>
    <w:rPr>
      <w:sz w:val="20"/>
      <w:szCs w:val="20"/>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9533DC"/>
    <w:rPr>
      <w:lang w:eastAsia="en-US"/>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1"/>
    <w:uiPriority w:val="99"/>
    <w:unhideWhenUsed/>
    <w:rsid w:val="009533DC"/>
    <w:rPr>
      <w:vertAlign w:val="superscript"/>
    </w:rPr>
  </w:style>
  <w:style w:type="paragraph" w:styleId="Header">
    <w:name w:val="header"/>
    <w:basedOn w:val="Normal"/>
    <w:link w:val="HeaderChar"/>
    <w:unhideWhenUsed/>
    <w:rsid w:val="008E59DC"/>
    <w:pPr>
      <w:tabs>
        <w:tab w:val="center" w:pos="4513"/>
        <w:tab w:val="right" w:pos="9026"/>
      </w:tabs>
    </w:pPr>
  </w:style>
  <w:style w:type="character" w:customStyle="1" w:styleId="HeaderChar">
    <w:name w:val="Header Char"/>
    <w:link w:val="Header"/>
    <w:rsid w:val="008E59DC"/>
    <w:rPr>
      <w:sz w:val="22"/>
      <w:szCs w:val="22"/>
      <w:lang w:eastAsia="en-US"/>
    </w:rPr>
  </w:style>
  <w:style w:type="paragraph" w:styleId="Footer">
    <w:name w:val="footer"/>
    <w:basedOn w:val="Normal"/>
    <w:link w:val="FooterChar"/>
    <w:uiPriority w:val="99"/>
    <w:unhideWhenUsed/>
    <w:rsid w:val="008E59DC"/>
    <w:pPr>
      <w:tabs>
        <w:tab w:val="center" w:pos="4513"/>
        <w:tab w:val="right" w:pos="9026"/>
      </w:tabs>
    </w:pPr>
  </w:style>
  <w:style w:type="character" w:customStyle="1" w:styleId="FooterChar">
    <w:name w:val="Footer Char"/>
    <w:link w:val="Footer"/>
    <w:uiPriority w:val="99"/>
    <w:rsid w:val="008E59DC"/>
    <w:rPr>
      <w:sz w:val="22"/>
      <w:szCs w:val="22"/>
      <w:lang w:eastAsia="en-US"/>
    </w:rPr>
  </w:style>
  <w:style w:type="character" w:styleId="CommentReference">
    <w:name w:val="annotation reference"/>
    <w:uiPriority w:val="99"/>
    <w:unhideWhenUsed/>
    <w:rsid w:val="006B2260"/>
    <w:rPr>
      <w:sz w:val="16"/>
      <w:szCs w:val="16"/>
    </w:rPr>
  </w:style>
  <w:style w:type="paragraph" w:styleId="CommentText">
    <w:name w:val="annotation text"/>
    <w:basedOn w:val="Normal"/>
    <w:link w:val="CommentTextChar"/>
    <w:uiPriority w:val="99"/>
    <w:unhideWhenUsed/>
    <w:rsid w:val="006B2260"/>
    <w:rPr>
      <w:sz w:val="20"/>
      <w:szCs w:val="20"/>
    </w:rPr>
  </w:style>
  <w:style w:type="character" w:customStyle="1" w:styleId="CommentTextChar">
    <w:name w:val="Comment Text Char"/>
    <w:link w:val="CommentText"/>
    <w:uiPriority w:val="99"/>
    <w:rsid w:val="006B2260"/>
    <w:rPr>
      <w:lang w:eastAsia="en-US"/>
    </w:rPr>
  </w:style>
  <w:style w:type="paragraph" w:styleId="BalloonText">
    <w:name w:val="Balloon Text"/>
    <w:basedOn w:val="Normal"/>
    <w:link w:val="BalloonTextChar"/>
    <w:uiPriority w:val="99"/>
    <w:semiHidden/>
    <w:unhideWhenUsed/>
    <w:rsid w:val="006B226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B2260"/>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F06AEA"/>
    <w:rPr>
      <w:b/>
      <w:bCs/>
    </w:rPr>
  </w:style>
  <w:style w:type="character" w:customStyle="1" w:styleId="CommentSubjectChar">
    <w:name w:val="Comment Subject Char"/>
    <w:link w:val="CommentSubject"/>
    <w:uiPriority w:val="99"/>
    <w:semiHidden/>
    <w:rsid w:val="00F06AEA"/>
    <w:rPr>
      <w:b/>
      <w:bCs/>
      <w:lang w:eastAsia="en-US"/>
    </w:rPr>
  </w:style>
  <w:style w:type="paragraph" w:styleId="ListParagraph">
    <w:name w:val="List Paragraph"/>
    <w:basedOn w:val="Normal"/>
    <w:uiPriority w:val="34"/>
    <w:qFormat/>
    <w:rsid w:val="00280365"/>
    <w:pPr>
      <w:ind w:left="720"/>
      <w:contextualSpacing/>
    </w:pPr>
  </w:style>
  <w:style w:type="numbering" w:customStyle="1" w:styleId="NoList1">
    <w:name w:val="No List1"/>
    <w:next w:val="NoList"/>
    <w:uiPriority w:val="99"/>
    <w:semiHidden/>
    <w:unhideWhenUsed/>
    <w:rsid w:val="00280365"/>
  </w:style>
  <w:style w:type="paragraph" w:customStyle="1" w:styleId="ListDash">
    <w:name w:val="List Dash"/>
    <w:basedOn w:val="Normal"/>
    <w:rsid w:val="00280365"/>
    <w:pPr>
      <w:tabs>
        <w:tab w:val="num" w:pos="360"/>
      </w:tabs>
      <w:spacing w:after="240" w:line="240" w:lineRule="auto"/>
      <w:jc w:val="both"/>
    </w:pPr>
    <w:rPr>
      <w:rFonts w:eastAsia="Times New Roman"/>
      <w:szCs w:val="20"/>
    </w:rPr>
  </w:style>
  <w:style w:type="paragraph" w:customStyle="1" w:styleId="Char1CharCharChar">
    <w:name w:val="Char1 Char Char Char"/>
    <w:basedOn w:val="Normal"/>
    <w:rsid w:val="00280365"/>
    <w:pPr>
      <w:spacing w:after="160" w:line="240" w:lineRule="exact"/>
    </w:pPr>
    <w:rPr>
      <w:rFonts w:ascii="Tahoma" w:eastAsia="Times New Roman" w:hAnsi="Tahoma"/>
      <w:sz w:val="20"/>
      <w:szCs w:val="20"/>
    </w:rPr>
  </w:style>
  <w:style w:type="paragraph" w:customStyle="1" w:styleId="CM1">
    <w:name w:val="CM1"/>
    <w:basedOn w:val="Normal"/>
    <w:next w:val="Normal"/>
    <w:uiPriority w:val="99"/>
    <w:rsid w:val="00280365"/>
    <w:pPr>
      <w:autoSpaceDE w:val="0"/>
      <w:autoSpaceDN w:val="0"/>
      <w:adjustRightInd w:val="0"/>
      <w:spacing w:after="0" w:line="240" w:lineRule="auto"/>
    </w:pPr>
    <w:rPr>
      <w:rFonts w:ascii="EUAlbertina" w:hAnsi="EUAlbertina"/>
      <w:szCs w:val="24"/>
    </w:rPr>
  </w:style>
  <w:style w:type="paragraph" w:customStyle="1" w:styleId="CM3">
    <w:name w:val="CM3"/>
    <w:basedOn w:val="Normal"/>
    <w:next w:val="Normal"/>
    <w:uiPriority w:val="99"/>
    <w:rsid w:val="00280365"/>
    <w:pPr>
      <w:autoSpaceDE w:val="0"/>
      <w:autoSpaceDN w:val="0"/>
      <w:adjustRightInd w:val="0"/>
      <w:spacing w:after="0" w:line="240" w:lineRule="auto"/>
    </w:pPr>
    <w:rPr>
      <w:rFonts w:ascii="EUAlbertina" w:hAnsi="EUAlbertina"/>
      <w:szCs w:val="24"/>
    </w:rPr>
  </w:style>
  <w:style w:type="paragraph" w:customStyle="1" w:styleId="Revision1">
    <w:name w:val="Revision1"/>
    <w:next w:val="Revision"/>
    <w:hidden/>
    <w:uiPriority w:val="99"/>
    <w:semiHidden/>
    <w:rsid w:val="00280365"/>
    <w:rPr>
      <w:sz w:val="22"/>
      <w:szCs w:val="22"/>
      <w:lang w:eastAsia="en-US"/>
    </w:rPr>
  </w:style>
  <w:style w:type="paragraph" w:styleId="Revision">
    <w:name w:val="Revision"/>
    <w:hidden/>
    <w:uiPriority w:val="99"/>
    <w:semiHidden/>
    <w:rsid w:val="00280365"/>
    <w:rPr>
      <w:sz w:val="22"/>
      <w:szCs w:val="22"/>
      <w:lang w:eastAsia="en-US"/>
    </w:rPr>
  </w:style>
  <w:style w:type="paragraph" w:customStyle="1" w:styleId="Char1CharCharChar0">
    <w:name w:val="Char1 Char Char Char"/>
    <w:basedOn w:val="Normal"/>
    <w:rsid w:val="000A195F"/>
    <w:pPr>
      <w:spacing w:after="160" w:line="240" w:lineRule="exact"/>
    </w:pPr>
    <w:rPr>
      <w:rFonts w:ascii="Tahoma" w:eastAsia="Times New Roman" w:hAnsi="Tahoma"/>
      <w:sz w:val="20"/>
      <w:szCs w:val="20"/>
    </w:rPr>
  </w:style>
  <w:style w:type="paragraph" w:customStyle="1" w:styleId="ZCom">
    <w:name w:val="Z_Com"/>
    <w:basedOn w:val="Normal"/>
    <w:next w:val="ZDGName"/>
    <w:rsid w:val="003143A0"/>
    <w:pPr>
      <w:widowControl w:val="0"/>
      <w:spacing w:after="0" w:line="240" w:lineRule="auto"/>
      <w:ind w:right="85"/>
      <w:jc w:val="both"/>
    </w:pPr>
    <w:rPr>
      <w:rFonts w:ascii="Arial" w:eastAsia="Times New Roman" w:hAnsi="Arial"/>
      <w:snapToGrid w:val="0"/>
      <w:szCs w:val="20"/>
    </w:rPr>
  </w:style>
  <w:style w:type="paragraph" w:customStyle="1" w:styleId="ZDGName">
    <w:name w:val="Z_DGName"/>
    <w:basedOn w:val="Normal"/>
    <w:rsid w:val="003143A0"/>
    <w:pPr>
      <w:widowControl w:val="0"/>
      <w:spacing w:after="0" w:line="240" w:lineRule="auto"/>
      <w:ind w:right="85"/>
      <w:jc w:val="both"/>
    </w:pPr>
    <w:rPr>
      <w:rFonts w:ascii="Arial" w:eastAsia="Times New Roman" w:hAnsi="Arial"/>
      <w:snapToGrid w:val="0"/>
      <w:sz w:val="16"/>
      <w:szCs w:val="20"/>
    </w:rPr>
  </w:style>
  <w:style w:type="character" w:styleId="Emphasis">
    <w:name w:val="Emphasis"/>
    <w:uiPriority w:val="20"/>
    <w:qFormat/>
    <w:rsid w:val="00964D6A"/>
    <w:rPr>
      <w:i/>
      <w:iCs/>
    </w:rPr>
  </w:style>
  <w:style w:type="paragraph" w:customStyle="1" w:styleId="Heading3contract">
    <w:name w:val="Heading 3 contract"/>
    <w:basedOn w:val="Normal"/>
    <w:link w:val="Heading3contractChar"/>
    <w:autoRedefine/>
    <w:qFormat/>
    <w:rsid w:val="00E37C07"/>
    <w:pPr>
      <w:keepNext/>
      <w:spacing w:before="120" w:after="0" w:line="240" w:lineRule="auto"/>
      <w:ind w:left="709" w:hanging="709"/>
      <w:jc w:val="both"/>
    </w:pPr>
    <w:rPr>
      <w:rFonts w:eastAsia="Times New Roman"/>
      <w:b/>
      <w:szCs w:val="24"/>
      <w:lang w:eastAsia="ko-KR"/>
    </w:rPr>
  </w:style>
  <w:style w:type="character" w:customStyle="1" w:styleId="Heading3contractChar">
    <w:name w:val="Heading 3 contract Char"/>
    <w:link w:val="Heading3contract"/>
    <w:rsid w:val="00E37C07"/>
    <w:rPr>
      <w:rFonts w:ascii="Times New Roman" w:eastAsia="Times New Roman" w:hAnsi="Times New Roman"/>
      <w:b/>
      <w:sz w:val="24"/>
      <w:szCs w:val="24"/>
      <w:lang w:eastAsia="ko-KR"/>
    </w:rPr>
  </w:style>
  <w:style w:type="character" w:styleId="Hyperlink">
    <w:name w:val="Hyperlink"/>
    <w:uiPriority w:val="99"/>
    <w:unhideWhenUsed/>
    <w:rsid w:val="00171637"/>
    <w:rPr>
      <w:color w:val="0000FF"/>
      <w:u w:val="single"/>
    </w:rPr>
  </w:style>
  <w:style w:type="character" w:styleId="FollowedHyperlink">
    <w:name w:val="FollowedHyperlink"/>
    <w:uiPriority w:val="99"/>
    <w:semiHidden/>
    <w:unhideWhenUsed/>
    <w:rsid w:val="00171637"/>
    <w:rPr>
      <w:color w:val="800080"/>
      <w:u w:val="single"/>
    </w:rPr>
  </w:style>
  <w:style w:type="paragraph" w:styleId="Title">
    <w:name w:val="Title"/>
    <w:basedOn w:val="Normal"/>
    <w:link w:val="TitleChar"/>
    <w:uiPriority w:val="10"/>
    <w:qFormat/>
    <w:rsid w:val="00772D82"/>
    <w:pPr>
      <w:tabs>
        <w:tab w:val="left" w:pos="-1440"/>
        <w:tab w:val="left" w:pos="-720"/>
        <w:tab w:val="left" w:pos="828"/>
        <w:tab w:val="left" w:pos="1044"/>
        <w:tab w:val="left" w:pos="1260"/>
        <w:tab w:val="left" w:pos="1476"/>
        <w:tab w:val="left" w:pos="1692"/>
        <w:tab w:val="left" w:pos="2160"/>
      </w:tabs>
      <w:spacing w:after="0" w:line="240" w:lineRule="auto"/>
      <w:jc w:val="center"/>
    </w:pPr>
    <w:rPr>
      <w:rFonts w:eastAsia="Times New Roman"/>
      <w:b/>
      <w:bCs/>
      <w:snapToGrid w:val="0"/>
      <w:lang w:eastAsia="en-GB"/>
    </w:rPr>
  </w:style>
  <w:style w:type="character" w:customStyle="1" w:styleId="TitleChar">
    <w:name w:val="Title Char"/>
    <w:link w:val="Title"/>
    <w:uiPriority w:val="10"/>
    <w:rsid w:val="00772D82"/>
    <w:rPr>
      <w:rFonts w:ascii="Times New Roman" w:eastAsia="Times New Roman" w:hAnsi="Times New Roman"/>
      <w:b/>
      <w:bCs/>
      <w:snapToGrid w:val="0"/>
      <w:sz w:val="22"/>
      <w:szCs w:val="22"/>
      <w:lang w:val="fr-FR"/>
    </w:rPr>
  </w:style>
  <w:style w:type="paragraph" w:customStyle="1" w:styleId="CharCharChar">
    <w:name w:val="Char Char Char"/>
    <w:basedOn w:val="Normal"/>
    <w:rsid w:val="00772D82"/>
    <w:pPr>
      <w:spacing w:after="160" w:line="240" w:lineRule="exact"/>
    </w:pPr>
    <w:rPr>
      <w:rFonts w:ascii="Tahoma" w:eastAsia="Times New Roman" w:hAnsi="Tahoma"/>
      <w:sz w:val="20"/>
      <w:szCs w:val="20"/>
    </w:rPr>
  </w:style>
  <w:style w:type="paragraph" w:customStyle="1" w:styleId="Char1CharCharCharCharCharChar">
    <w:name w:val="Char1 Char Char Char Char Char Char"/>
    <w:basedOn w:val="Normal"/>
    <w:rsid w:val="00996C14"/>
    <w:pPr>
      <w:spacing w:after="160" w:line="240" w:lineRule="exact"/>
    </w:pPr>
    <w:rPr>
      <w:rFonts w:ascii="Tahoma" w:eastAsia="Times New Roman" w:hAnsi="Tahoma"/>
      <w:sz w:val="20"/>
      <w:szCs w:val="20"/>
    </w:rPr>
  </w:style>
  <w:style w:type="character" w:customStyle="1" w:styleId="Heading2Char">
    <w:name w:val="Heading 2 Char"/>
    <w:link w:val="Heading2"/>
    <w:uiPriority w:val="9"/>
    <w:rsid w:val="00A3237A"/>
    <w:rPr>
      <w:rFonts w:ascii="Times New Roman Bold" w:eastAsia="Times New Roman" w:hAnsi="Times New Roman Bold"/>
      <w:b/>
      <w:caps/>
      <w:sz w:val="24"/>
      <w:szCs w:val="24"/>
    </w:rPr>
  </w:style>
  <w:style w:type="character" w:customStyle="1" w:styleId="Heading3Char">
    <w:name w:val="Heading 3 Char"/>
    <w:link w:val="Heading3"/>
    <w:uiPriority w:val="9"/>
    <w:rsid w:val="005506B9"/>
    <w:rPr>
      <w:rFonts w:ascii="Times New Roman" w:eastAsia="Times New Roman" w:hAnsi="Times New Roman"/>
      <w:b/>
      <w:spacing w:val="5"/>
      <w:sz w:val="24"/>
      <w:szCs w:val="24"/>
    </w:rPr>
  </w:style>
  <w:style w:type="character" w:customStyle="1" w:styleId="Heading1Char">
    <w:name w:val="Heading 1 Char"/>
    <w:link w:val="Heading1"/>
    <w:uiPriority w:val="9"/>
    <w:rsid w:val="00550A65"/>
    <w:rPr>
      <w:rFonts w:ascii="Times New Roman Bold" w:eastAsia="Times New Roman" w:hAnsi="Times New Roman Bold"/>
      <w:b/>
      <w:caps/>
      <w:sz w:val="24"/>
      <w:szCs w:val="24"/>
    </w:rPr>
  </w:style>
  <w:style w:type="character" w:customStyle="1" w:styleId="Heading4Char">
    <w:name w:val="Heading 4 Char"/>
    <w:link w:val="Heading4"/>
    <w:uiPriority w:val="9"/>
    <w:rsid w:val="00550A65"/>
    <w:rPr>
      <w:rFonts w:ascii="Times New Roman" w:eastAsia="Times New Roman" w:hAnsi="Times New Roman"/>
      <w:b/>
      <w:sz w:val="24"/>
      <w:szCs w:val="24"/>
      <w:u w:val="single"/>
    </w:rPr>
  </w:style>
  <w:style w:type="character" w:customStyle="1" w:styleId="Heading5Char">
    <w:name w:val="Heading 5 Char"/>
    <w:link w:val="Heading5"/>
    <w:uiPriority w:val="9"/>
    <w:semiHidden/>
    <w:rsid w:val="00550A65"/>
    <w:rPr>
      <w:rFonts w:ascii="Times New Roman" w:eastAsia="Times New Roman" w:hAnsi="Times New Roman"/>
      <w:smallCaps/>
      <w:color w:val="943634"/>
      <w:spacing w:val="10"/>
      <w:sz w:val="22"/>
      <w:szCs w:val="26"/>
    </w:rPr>
  </w:style>
  <w:style w:type="character" w:customStyle="1" w:styleId="Heading6Char">
    <w:name w:val="Heading 6 Char"/>
    <w:link w:val="Heading6"/>
    <w:uiPriority w:val="9"/>
    <w:semiHidden/>
    <w:rsid w:val="00550A65"/>
    <w:rPr>
      <w:rFonts w:ascii="Times New Roman" w:eastAsia="Times New Roman" w:hAnsi="Times New Roman"/>
      <w:smallCaps/>
      <w:color w:val="C0504D"/>
      <w:spacing w:val="5"/>
      <w:sz w:val="22"/>
    </w:rPr>
  </w:style>
  <w:style w:type="character" w:customStyle="1" w:styleId="Heading7Char">
    <w:name w:val="Heading 7 Char"/>
    <w:link w:val="Heading7"/>
    <w:uiPriority w:val="9"/>
    <w:semiHidden/>
    <w:rsid w:val="00550A65"/>
    <w:rPr>
      <w:rFonts w:ascii="Times New Roman" w:eastAsia="Times New Roman" w:hAnsi="Times New Roman"/>
      <w:b/>
      <w:smallCaps/>
      <w:color w:val="C0504D"/>
      <w:spacing w:val="10"/>
      <w:sz w:val="24"/>
    </w:rPr>
  </w:style>
  <w:style w:type="character" w:customStyle="1" w:styleId="Heading8Char">
    <w:name w:val="Heading 8 Char"/>
    <w:link w:val="Heading8"/>
    <w:uiPriority w:val="9"/>
    <w:semiHidden/>
    <w:rsid w:val="00550A65"/>
    <w:rPr>
      <w:rFonts w:ascii="Times New Roman" w:eastAsia="Times New Roman" w:hAnsi="Times New Roman"/>
      <w:b/>
      <w:i/>
      <w:smallCaps/>
      <w:color w:val="943634"/>
      <w:sz w:val="24"/>
    </w:rPr>
  </w:style>
  <w:style w:type="character" w:customStyle="1" w:styleId="Heading9Char">
    <w:name w:val="Heading 9 Char"/>
    <w:link w:val="Heading9"/>
    <w:uiPriority w:val="9"/>
    <w:semiHidden/>
    <w:rsid w:val="00550A65"/>
    <w:rPr>
      <w:rFonts w:ascii="Times New Roman" w:eastAsia="Times New Roman" w:hAnsi="Times New Roman"/>
      <w:b/>
      <w:i/>
      <w:smallCaps/>
      <w:color w:val="622423"/>
      <w:sz w:val="24"/>
    </w:rPr>
  </w:style>
  <w:style w:type="paragraph" w:customStyle="1" w:styleId="Default">
    <w:name w:val="Default"/>
    <w:rsid w:val="00550A65"/>
    <w:pPr>
      <w:autoSpaceDE w:val="0"/>
      <w:autoSpaceDN w:val="0"/>
      <w:adjustRightInd w:val="0"/>
      <w:spacing w:after="200" w:line="276" w:lineRule="auto"/>
      <w:jc w:val="both"/>
    </w:pPr>
    <w:rPr>
      <w:rFonts w:ascii="Times New Roman" w:eastAsia="Times New Roman" w:hAnsi="Times New Roman"/>
      <w:color w:val="000000"/>
      <w:sz w:val="24"/>
      <w:szCs w:val="24"/>
    </w:rPr>
  </w:style>
  <w:style w:type="paragraph" w:customStyle="1" w:styleId="Subarticle">
    <w:name w:val="Subarticle"/>
    <w:basedOn w:val="Normal"/>
    <w:link w:val="SubarticleChar"/>
    <w:rsid w:val="00550A65"/>
    <w:pPr>
      <w:spacing w:before="100" w:beforeAutospacing="1" w:after="0" w:afterAutospacing="1" w:line="240" w:lineRule="auto"/>
      <w:ind w:left="720" w:hanging="720"/>
      <w:jc w:val="both"/>
    </w:pPr>
    <w:rPr>
      <w:rFonts w:eastAsia="Times New Roman"/>
      <w:b/>
      <w:szCs w:val="24"/>
      <w:lang w:eastAsia="en-GB"/>
    </w:rPr>
  </w:style>
  <w:style w:type="character" w:customStyle="1" w:styleId="SubarticleChar">
    <w:name w:val="Subarticle Char"/>
    <w:link w:val="Subarticle"/>
    <w:rsid w:val="00550A65"/>
    <w:rPr>
      <w:rFonts w:ascii="Times New Roman" w:eastAsia="Times New Roman" w:hAnsi="Times New Roman"/>
      <w:b/>
      <w:sz w:val="24"/>
      <w:szCs w:val="24"/>
    </w:rPr>
  </w:style>
  <w:style w:type="paragraph" w:customStyle="1" w:styleId="Article">
    <w:name w:val="Article"/>
    <w:basedOn w:val="Normal"/>
    <w:link w:val="ArticleChar"/>
    <w:rsid w:val="00550A65"/>
    <w:pPr>
      <w:spacing w:before="100" w:beforeAutospacing="1" w:after="0" w:afterAutospacing="1" w:line="240" w:lineRule="auto"/>
      <w:ind w:left="1871" w:hanging="1871"/>
      <w:jc w:val="both"/>
    </w:pPr>
    <w:rPr>
      <w:rFonts w:eastAsia="Times New Roman"/>
      <w:b/>
      <w:szCs w:val="24"/>
      <w:lang w:eastAsia="en-GB"/>
    </w:rPr>
  </w:style>
  <w:style w:type="character" w:customStyle="1" w:styleId="ArticleChar">
    <w:name w:val="Article Char"/>
    <w:link w:val="Article"/>
    <w:rsid w:val="00550A65"/>
    <w:rPr>
      <w:rFonts w:ascii="Times New Roman" w:eastAsia="Times New Roman" w:hAnsi="Times New Roman"/>
      <w:b/>
      <w:sz w:val="24"/>
      <w:szCs w:val="24"/>
    </w:rPr>
  </w:style>
  <w:style w:type="paragraph" w:customStyle="1" w:styleId="Contact">
    <w:name w:val="Contact"/>
    <w:basedOn w:val="Normal"/>
    <w:next w:val="Normal"/>
    <w:rsid w:val="00550A65"/>
    <w:pPr>
      <w:spacing w:before="480" w:beforeAutospacing="1" w:after="0" w:afterAutospacing="1" w:line="240" w:lineRule="auto"/>
      <w:ind w:left="567" w:hanging="567"/>
    </w:pPr>
    <w:rPr>
      <w:rFonts w:eastAsia="Times New Roman"/>
      <w:szCs w:val="20"/>
    </w:rPr>
  </w:style>
  <w:style w:type="paragraph" w:styleId="ListBullet">
    <w:name w:val="List Bullet"/>
    <w:basedOn w:val="Normal"/>
    <w:rsid w:val="00550A65"/>
    <w:pPr>
      <w:numPr>
        <w:numId w:val="1"/>
      </w:numPr>
      <w:spacing w:before="100" w:beforeAutospacing="1" w:after="100" w:afterAutospacing="1" w:line="240" w:lineRule="auto"/>
      <w:jc w:val="both"/>
    </w:pPr>
    <w:rPr>
      <w:rFonts w:eastAsia="Times New Roman"/>
      <w:szCs w:val="20"/>
    </w:rPr>
  </w:style>
  <w:style w:type="paragraph" w:customStyle="1" w:styleId="ListBullet1">
    <w:name w:val="List Bullet 1"/>
    <w:basedOn w:val="Normal"/>
    <w:rsid w:val="00550A65"/>
    <w:pPr>
      <w:numPr>
        <w:numId w:val="2"/>
      </w:numPr>
      <w:spacing w:before="100" w:beforeAutospacing="1" w:after="100" w:afterAutospacing="1" w:line="240" w:lineRule="auto"/>
      <w:jc w:val="both"/>
    </w:pPr>
    <w:rPr>
      <w:rFonts w:eastAsia="Times New Roman"/>
      <w:b/>
      <w:szCs w:val="20"/>
    </w:rPr>
  </w:style>
  <w:style w:type="paragraph" w:styleId="ListBullet2">
    <w:name w:val="List Bullet 2"/>
    <w:basedOn w:val="Normal"/>
    <w:rsid w:val="00550A65"/>
    <w:pPr>
      <w:numPr>
        <w:numId w:val="3"/>
      </w:numPr>
      <w:spacing w:before="100" w:beforeAutospacing="1" w:after="100" w:afterAutospacing="1" w:line="240" w:lineRule="auto"/>
      <w:jc w:val="both"/>
    </w:pPr>
    <w:rPr>
      <w:rFonts w:eastAsia="Times New Roman"/>
      <w:szCs w:val="20"/>
    </w:rPr>
  </w:style>
  <w:style w:type="paragraph" w:styleId="ListBullet3">
    <w:name w:val="List Bullet 3"/>
    <w:basedOn w:val="Normal"/>
    <w:rsid w:val="00550A65"/>
    <w:pPr>
      <w:numPr>
        <w:numId w:val="4"/>
      </w:numPr>
      <w:spacing w:before="100" w:beforeAutospacing="1" w:after="100" w:afterAutospacing="1" w:line="240" w:lineRule="auto"/>
      <w:jc w:val="both"/>
    </w:pPr>
    <w:rPr>
      <w:rFonts w:eastAsia="Times New Roman"/>
      <w:szCs w:val="20"/>
    </w:rPr>
  </w:style>
  <w:style w:type="paragraph" w:styleId="ListBullet4">
    <w:name w:val="List Bullet 4"/>
    <w:basedOn w:val="Normal"/>
    <w:rsid w:val="00550A65"/>
    <w:pPr>
      <w:numPr>
        <w:numId w:val="5"/>
      </w:numPr>
      <w:spacing w:before="100" w:beforeAutospacing="1" w:after="100" w:afterAutospacing="1" w:line="240" w:lineRule="auto"/>
      <w:jc w:val="both"/>
    </w:pPr>
    <w:rPr>
      <w:rFonts w:eastAsia="Times New Roman"/>
      <w:szCs w:val="20"/>
    </w:rPr>
  </w:style>
  <w:style w:type="paragraph" w:customStyle="1" w:styleId="ListDash1">
    <w:name w:val="List Dash 1"/>
    <w:basedOn w:val="Normal"/>
    <w:rsid w:val="00550A65"/>
    <w:pPr>
      <w:numPr>
        <w:numId w:val="6"/>
      </w:numPr>
      <w:spacing w:before="100" w:beforeAutospacing="1" w:after="100" w:afterAutospacing="1" w:line="240" w:lineRule="auto"/>
      <w:jc w:val="both"/>
    </w:pPr>
    <w:rPr>
      <w:rFonts w:eastAsia="Times New Roman"/>
      <w:b/>
      <w:szCs w:val="20"/>
    </w:rPr>
  </w:style>
  <w:style w:type="paragraph" w:customStyle="1" w:styleId="ListDash2">
    <w:name w:val="List Dash 2"/>
    <w:basedOn w:val="Normal"/>
    <w:rsid w:val="00550A65"/>
    <w:pPr>
      <w:numPr>
        <w:numId w:val="7"/>
      </w:numPr>
      <w:spacing w:before="100" w:beforeAutospacing="1" w:after="100" w:afterAutospacing="1" w:line="240" w:lineRule="auto"/>
      <w:jc w:val="both"/>
    </w:pPr>
    <w:rPr>
      <w:rFonts w:eastAsia="Times New Roman"/>
      <w:szCs w:val="20"/>
    </w:rPr>
  </w:style>
  <w:style w:type="paragraph" w:customStyle="1" w:styleId="ListDash3">
    <w:name w:val="List Dash 3"/>
    <w:basedOn w:val="Normal"/>
    <w:link w:val="ListDash3Char"/>
    <w:rsid w:val="00550A65"/>
    <w:pPr>
      <w:numPr>
        <w:numId w:val="8"/>
      </w:numPr>
      <w:spacing w:before="100" w:beforeAutospacing="1" w:after="100" w:afterAutospacing="1" w:line="240" w:lineRule="auto"/>
      <w:jc w:val="both"/>
    </w:pPr>
    <w:rPr>
      <w:rFonts w:eastAsia="Times New Roman"/>
      <w:szCs w:val="20"/>
    </w:rPr>
  </w:style>
  <w:style w:type="paragraph" w:customStyle="1" w:styleId="ListDash4">
    <w:name w:val="List Dash 4"/>
    <w:basedOn w:val="Normal"/>
    <w:rsid w:val="00550A65"/>
    <w:pPr>
      <w:numPr>
        <w:numId w:val="9"/>
      </w:numPr>
      <w:spacing w:before="100" w:beforeAutospacing="1" w:after="100" w:afterAutospacing="1" w:line="240" w:lineRule="auto"/>
      <w:jc w:val="both"/>
    </w:pPr>
    <w:rPr>
      <w:rFonts w:eastAsia="Times New Roman"/>
      <w:szCs w:val="20"/>
    </w:rPr>
  </w:style>
  <w:style w:type="paragraph" w:styleId="ListNumber">
    <w:name w:val="List Number"/>
    <w:basedOn w:val="Normal"/>
    <w:rsid w:val="00550A65"/>
    <w:pPr>
      <w:numPr>
        <w:numId w:val="10"/>
      </w:numPr>
      <w:spacing w:before="100" w:beforeAutospacing="1" w:after="100" w:afterAutospacing="1" w:line="240" w:lineRule="auto"/>
      <w:jc w:val="both"/>
    </w:pPr>
    <w:rPr>
      <w:rFonts w:eastAsia="Times New Roman"/>
      <w:szCs w:val="20"/>
    </w:rPr>
  </w:style>
  <w:style w:type="paragraph" w:customStyle="1" w:styleId="ListNumber1">
    <w:name w:val="List Number 1"/>
    <w:basedOn w:val="Normal"/>
    <w:rsid w:val="00550A65"/>
    <w:pPr>
      <w:numPr>
        <w:numId w:val="11"/>
      </w:numPr>
      <w:spacing w:before="100" w:beforeAutospacing="1" w:after="100" w:afterAutospacing="1" w:line="240" w:lineRule="auto"/>
      <w:jc w:val="both"/>
    </w:pPr>
    <w:rPr>
      <w:rFonts w:eastAsia="Times New Roman"/>
      <w:b/>
      <w:szCs w:val="20"/>
    </w:rPr>
  </w:style>
  <w:style w:type="paragraph" w:styleId="ListNumber2">
    <w:name w:val="List Number 2"/>
    <w:basedOn w:val="Normal"/>
    <w:rsid w:val="00550A65"/>
    <w:pPr>
      <w:numPr>
        <w:numId w:val="12"/>
      </w:numPr>
      <w:spacing w:before="100" w:beforeAutospacing="1" w:after="100" w:afterAutospacing="1" w:line="240" w:lineRule="auto"/>
      <w:jc w:val="both"/>
    </w:pPr>
    <w:rPr>
      <w:rFonts w:eastAsia="Times New Roman"/>
      <w:szCs w:val="20"/>
    </w:rPr>
  </w:style>
  <w:style w:type="paragraph" w:styleId="ListNumber3">
    <w:name w:val="List Number 3"/>
    <w:basedOn w:val="Normal"/>
    <w:rsid w:val="00550A65"/>
    <w:pPr>
      <w:numPr>
        <w:numId w:val="13"/>
      </w:numPr>
      <w:spacing w:before="100" w:beforeAutospacing="1" w:after="100" w:afterAutospacing="1" w:line="240" w:lineRule="auto"/>
      <w:jc w:val="both"/>
    </w:pPr>
    <w:rPr>
      <w:rFonts w:eastAsia="Times New Roman"/>
      <w:szCs w:val="20"/>
    </w:rPr>
  </w:style>
  <w:style w:type="paragraph" w:styleId="ListNumber4">
    <w:name w:val="List Number 4"/>
    <w:basedOn w:val="Normal"/>
    <w:rsid w:val="00550A65"/>
    <w:pPr>
      <w:numPr>
        <w:numId w:val="14"/>
      </w:numPr>
      <w:spacing w:before="100" w:beforeAutospacing="1" w:after="100" w:afterAutospacing="1" w:line="240" w:lineRule="auto"/>
      <w:jc w:val="both"/>
    </w:pPr>
    <w:rPr>
      <w:rFonts w:eastAsia="Times New Roman"/>
      <w:szCs w:val="20"/>
    </w:rPr>
  </w:style>
  <w:style w:type="paragraph" w:customStyle="1" w:styleId="ListNumberLevel2">
    <w:name w:val="List Number (Level 2)"/>
    <w:basedOn w:val="Normal"/>
    <w:rsid w:val="00550A65"/>
    <w:pPr>
      <w:numPr>
        <w:ilvl w:val="1"/>
        <w:numId w:val="10"/>
      </w:numPr>
      <w:spacing w:before="100" w:beforeAutospacing="1" w:after="100" w:afterAutospacing="1" w:line="240" w:lineRule="auto"/>
      <w:jc w:val="both"/>
    </w:pPr>
    <w:rPr>
      <w:rFonts w:eastAsia="Times New Roman"/>
      <w:szCs w:val="20"/>
    </w:rPr>
  </w:style>
  <w:style w:type="paragraph" w:customStyle="1" w:styleId="ListNumber1Level2">
    <w:name w:val="List Number 1 (Level 2)"/>
    <w:basedOn w:val="Normal"/>
    <w:rsid w:val="00550A65"/>
    <w:pPr>
      <w:numPr>
        <w:ilvl w:val="1"/>
        <w:numId w:val="11"/>
      </w:numPr>
      <w:spacing w:before="100" w:beforeAutospacing="1" w:after="100" w:afterAutospacing="1" w:line="240" w:lineRule="auto"/>
      <w:jc w:val="both"/>
    </w:pPr>
    <w:rPr>
      <w:rFonts w:eastAsia="Times New Roman"/>
      <w:b/>
      <w:szCs w:val="20"/>
    </w:rPr>
  </w:style>
  <w:style w:type="paragraph" w:customStyle="1" w:styleId="ListNumber2Level2">
    <w:name w:val="List Number 2 (Level 2)"/>
    <w:basedOn w:val="Normal"/>
    <w:rsid w:val="00550A65"/>
    <w:pPr>
      <w:numPr>
        <w:ilvl w:val="1"/>
        <w:numId w:val="12"/>
      </w:numPr>
      <w:spacing w:before="100" w:beforeAutospacing="1" w:after="100" w:afterAutospacing="1" w:line="240" w:lineRule="auto"/>
      <w:jc w:val="both"/>
    </w:pPr>
    <w:rPr>
      <w:rFonts w:eastAsia="Times New Roman"/>
      <w:szCs w:val="20"/>
    </w:rPr>
  </w:style>
  <w:style w:type="paragraph" w:customStyle="1" w:styleId="ListNumber3Level2">
    <w:name w:val="List Number 3 (Level 2)"/>
    <w:basedOn w:val="Normal"/>
    <w:rsid w:val="00550A65"/>
    <w:pPr>
      <w:numPr>
        <w:ilvl w:val="1"/>
        <w:numId w:val="13"/>
      </w:numPr>
      <w:spacing w:before="100" w:beforeAutospacing="1" w:after="100" w:afterAutospacing="1" w:line="240" w:lineRule="auto"/>
      <w:jc w:val="both"/>
    </w:pPr>
    <w:rPr>
      <w:rFonts w:eastAsia="Times New Roman"/>
      <w:szCs w:val="20"/>
    </w:rPr>
  </w:style>
  <w:style w:type="paragraph" w:customStyle="1" w:styleId="ListNumber4Level2">
    <w:name w:val="List Number 4 (Level 2)"/>
    <w:basedOn w:val="Normal"/>
    <w:rsid w:val="00550A65"/>
    <w:pPr>
      <w:numPr>
        <w:ilvl w:val="1"/>
        <w:numId w:val="14"/>
      </w:numPr>
      <w:spacing w:before="100" w:beforeAutospacing="1" w:after="100" w:afterAutospacing="1" w:line="240" w:lineRule="auto"/>
      <w:jc w:val="both"/>
    </w:pPr>
    <w:rPr>
      <w:rFonts w:eastAsia="Times New Roman"/>
      <w:szCs w:val="20"/>
    </w:rPr>
  </w:style>
  <w:style w:type="paragraph" w:customStyle="1" w:styleId="ListNumberLevel3">
    <w:name w:val="List Number (Level 3)"/>
    <w:basedOn w:val="Normal"/>
    <w:rsid w:val="00550A65"/>
    <w:pPr>
      <w:numPr>
        <w:ilvl w:val="2"/>
        <w:numId w:val="10"/>
      </w:numPr>
      <w:spacing w:before="100" w:beforeAutospacing="1" w:after="100" w:afterAutospacing="1" w:line="240" w:lineRule="auto"/>
      <w:jc w:val="both"/>
    </w:pPr>
    <w:rPr>
      <w:rFonts w:eastAsia="Times New Roman"/>
      <w:szCs w:val="20"/>
    </w:rPr>
  </w:style>
  <w:style w:type="paragraph" w:customStyle="1" w:styleId="ListNumber1Level3">
    <w:name w:val="List Number 1 (Level 3)"/>
    <w:basedOn w:val="Normal"/>
    <w:rsid w:val="00550A65"/>
    <w:pPr>
      <w:numPr>
        <w:ilvl w:val="2"/>
        <w:numId w:val="11"/>
      </w:numPr>
      <w:spacing w:before="100" w:beforeAutospacing="1" w:after="100" w:afterAutospacing="1" w:line="240" w:lineRule="auto"/>
      <w:jc w:val="both"/>
    </w:pPr>
    <w:rPr>
      <w:rFonts w:eastAsia="Times New Roman"/>
      <w:b/>
      <w:szCs w:val="20"/>
    </w:rPr>
  </w:style>
  <w:style w:type="paragraph" w:customStyle="1" w:styleId="ListNumber2Level3">
    <w:name w:val="List Number 2 (Level 3)"/>
    <w:basedOn w:val="Normal"/>
    <w:rsid w:val="00550A65"/>
    <w:pPr>
      <w:numPr>
        <w:ilvl w:val="2"/>
        <w:numId w:val="12"/>
      </w:numPr>
      <w:spacing w:before="100" w:beforeAutospacing="1" w:after="100" w:afterAutospacing="1" w:line="240" w:lineRule="auto"/>
      <w:jc w:val="both"/>
    </w:pPr>
    <w:rPr>
      <w:rFonts w:eastAsia="Times New Roman"/>
      <w:szCs w:val="20"/>
    </w:rPr>
  </w:style>
  <w:style w:type="paragraph" w:customStyle="1" w:styleId="ListNumber3Level3">
    <w:name w:val="List Number 3 (Level 3)"/>
    <w:basedOn w:val="Normal"/>
    <w:rsid w:val="00550A65"/>
    <w:pPr>
      <w:numPr>
        <w:ilvl w:val="2"/>
        <w:numId w:val="13"/>
      </w:numPr>
      <w:spacing w:before="100" w:beforeAutospacing="1" w:after="100" w:afterAutospacing="1" w:line="240" w:lineRule="auto"/>
      <w:jc w:val="both"/>
    </w:pPr>
    <w:rPr>
      <w:rFonts w:eastAsia="Times New Roman"/>
      <w:szCs w:val="20"/>
    </w:rPr>
  </w:style>
  <w:style w:type="paragraph" w:customStyle="1" w:styleId="ListNumber4Level3">
    <w:name w:val="List Number 4 (Level 3)"/>
    <w:basedOn w:val="Normal"/>
    <w:rsid w:val="00550A65"/>
    <w:pPr>
      <w:numPr>
        <w:ilvl w:val="2"/>
        <w:numId w:val="14"/>
      </w:numPr>
      <w:spacing w:before="100" w:beforeAutospacing="1" w:after="100" w:afterAutospacing="1" w:line="240" w:lineRule="auto"/>
      <w:jc w:val="both"/>
    </w:pPr>
    <w:rPr>
      <w:rFonts w:eastAsia="Times New Roman"/>
      <w:szCs w:val="20"/>
    </w:rPr>
  </w:style>
  <w:style w:type="paragraph" w:customStyle="1" w:styleId="ListNumberLevel4">
    <w:name w:val="List Number (Level 4)"/>
    <w:basedOn w:val="Normal"/>
    <w:rsid w:val="00550A65"/>
    <w:pPr>
      <w:numPr>
        <w:ilvl w:val="3"/>
        <w:numId w:val="10"/>
      </w:numPr>
      <w:spacing w:before="100" w:beforeAutospacing="1" w:after="100" w:afterAutospacing="1" w:line="240" w:lineRule="auto"/>
      <w:jc w:val="both"/>
    </w:pPr>
    <w:rPr>
      <w:rFonts w:eastAsia="Times New Roman"/>
      <w:szCs w:val="20"/>
    </w:rPr>
  </w:style>
  <w:style w:type="paragraph" w:customStyle="1" w:styleId="ListNumber1Level4">
    <w:name w:val="List Number 1 (Level 4)"/>
    <w:basedOn w:val="Normal"/>
    <w:rsid w:val="00550A65"/>
    <w:pPr>
      <w:numPr>
        <w:ilvl w:val="3"/>
        <w:numId w:val="11"/>
      </w:numPr>
      <w:spacing w:before="100" w:beforeAutospacing="1" w:after="100" w:afterAutospacing="1" w:line="240" w:lineRule="auto"/>
      <w:jc w:val="both"/>
    </w:pPr>
    <w:rPr>
      <w:rFonts w:eastAsia="Times New Roman"/>
      <w:b/>
      <w:szCs w:val="20"/>
    </w:rPr>
  </w:style>
  <w:style w:type="paragraph" w:customStyle="1" w:styleId="ListNumber2Level4">
    <w:name w:val="List Number 2 (Level 4)"/>
    <w:basedOn w:val="Normal"/>
    <w:rsid w:val="00550A65"/>
    <w:pPr>
      <w:numPr>
        <w:ilvl w:val="3"/>
        <w:numId w:val="12"/>
      </w:numPr>
      <w:spacing w:before="100" w:beforeAutospacing="1" w:after="100" w:afterAutospacing="1" w:line="240" w:lineRule="auto"/>
      <w:jc w:val="both"/>
    </w:pPr>
    <w:rPr>
      <w:rFonts w:eastAsia="Times New Roman"/>
      <w:szCs w:val="20"/>
    </w:rPr>
  </w:style>
  <w:style w:type="paragraph" w:customStyle="1" w:styleId="ListNumber3Level4">
    <w:name w:val="List Number 3 (Level 4)"/>
    <w:basedOn w:val="Normal"/>
    <w:rsid w:val="00550A65"/>
    <w:pPr>
      <w:numPr>
        <w:ilvl w:val="3"/>
        <w:numId w:val="13"/>
      </w:numPr>
      <w:spacing w:before="100" w:beforeAutospacing="1" w:after="100" w:afterAutospacing="1" w:line="240" w:lineRule="auto"/>
      <w:jc w:val="both"/>
    </w:pPr>
    <w:rPr>
      <w:rFonts w:eastAsia="Times New Roman"/>
      <w:szCs w:val="20"/>
    </w:rPr>
  </w:style>
  <w:style w:type="paragraph" w:customStyle="1" w:styleId="ListNumber4Level4">
    <w:name w:val="List Number 4 (Level 4)"/>
    <w:basedOn w:val="Normal"/>
    <w:rsid w:val="00550A65"/>
    <w:pPr>
      <w:numPr>
        <w:ilvl w:val="3"/>
        <w:numId w:val="14"/>
      </w:numPr>
      <w:spacing w:before="100" w:beforeAutospacing="1" w:after="100" w:afterAutospacing="1" w:line="240" w:lineRule="auto"/>
      <w:jc w:val="both"/>
    </w:pPr>
    <w:rPr>
      <w:rFonts w:eastAsia="Times New Roman"/>
      <w:szCs w:val="20"/>
    </w:rPr>
  </w:style>
  <w:style w:type="paragraph" w:styleId="TOC5">
    <w:name w:val="toc 5"/>
    <w:basedOn w:val="Normal"/>
    <w:next w:val="Normal"/>
    <w:uiPriority w:val="39"/>
    <w:rsid w:val="00550A65"/>
    <w:pPr>
      <w:tabs>
        <w:tab w:val="right" w:leader="dot" w:pos="8641"/>
      </w:tabs>
      <w:spacing w:before="240" w:beforeAutospacing="1" w:after="120" w:afterAutospacing="1" w:line="240" w:lineRule="auto"/>
      <w:ind w:right="720"/>
      <w:jc w:val="both"/>
    </w:pPr>
    <w:rPr>
      <w:rFonts w:eastAsia="Times New Roman"/>
      <w:caps/>
      <w:szCs w:val="20"/>
    </w:rPr>
  </w:style>
  <w:style w:type="paragraph" w:styleId="TOCHeading">
    <w:name w:val="TOC Heading"/>
    <w:basedOn w:val="Normal"/>
    <w:next w:val="Normal"/>
    <w:uiPriority w:val="39"/>
    <w:qFormat/>
    <w:rsid w:val="00550A65"/>
    <w:pPr>
      <w:keepNext/>
      <w:spacing w:before="240" w:beforeAutospacing="1" w:after="100" w:afterAutospacing="1" w:line="240" w:lineRule="auto"/>
      <w:jc w:val="center"/>
    </w:pPr>
    <w:rPr>
      <w:rFonts w:eastAsia="Times New Roman"/>
      <w:b/>
      <w:szCs w:val="20"/>
    </w:rPr>
  </w:style>
  <w:style w:type="paragraph" w:styleId="TOC1">
    <w:name w:val="toc 1"/>
    <w:basedOn w:val="Normal"/>
    <w:next w:val="Normal"/>
    <w:uiPriority w:val="39"/>
    <w:rsid w:val="00550A65"/>
    <w:pPr>
      <w:tabs>
        <w:tab w:val="right" w:leader="dot" w:pos="8640"/>
      </w:tabs>
      <w:spacing w:before="120" w:beforeAutospacing="1" w:after="120" w:afterAutospacing="1" w:line="240" w:lineRule="auto"/>
      <w:ind w:left="482" w:right="720" w:hanging="482"/>
      <w:jc w:val="both"/>
    </w:pPr>
    <w:rPr>
      <w:rFonts w:eastAsia="Times New Roman"/>
      <w:b/>
      <w:caps/>
      <w:szCs w:val="20"/>
    </w:rPr>
  </w:style>
  <w:style w:type="paragraph" w:styleId="TOC2">
    <w:name w:val="toc 2"/>
    <w:basedOn w:val="Normal"/>
    <w:next w:val="Normal"/>
    <w:uiPriority w:val="39"/>
    <w:rsid w:val="00550A65"/>
    <w:pPr>
      <w:tabs>
        <w:tab w:val="right" w:leader="dot" w:pos="8640"/>
      </w:tabs>
      <w:spacing w:before="60" w:beforeAutospacing="1" w:after="60" w:afterAutospacing="1" w:line="240" w:lineRule="auto"/>
      <w:ind w:left="1077" w:right="720" w:hanging="595"/>
      <w:jc w:val="both"/>
    </w:pPr>
    <w:rPr>
      <w:rFonts w:eastAsia="Times New Roman"/>
      <w:szCs w:val="20"/>
    </w:rPr>
  </w:style>
  <w:style w:type="paragraph" w:styleId="TOC3">
    <w:name w:val="toc 3"/>
    <w:basedOn w:val="Normal"/>
    <w:next w:val="Normal"/>
    <w:uiPriority w:val="39"/>
    <w:rsid w:val="00550A65"/>
    <w:pPr>
      <w:tabs>
        <w:tab w:val="right" w:leader="dot" w:pos="8640"/>
      </w:tabs>
      <w:spacing w:before="60" w:beforeAutospacing="1" w:after="60" w:afterAutospacing="1" w:line="240" w:lineRule="auto"/>
      <w:ind w:left="1916" w:right="720" w:hanging="839"/>
      <w:jc w:val="both"/>
    </w:pPr>
    <w:rPr>
      <w:rFonts w:eastAsia="Times New Roman"/>
      <w:szCs w:val="20"/>
    </w:rPr>
  </w:style>
  <w:style w:type="paragraph" w:styleId="TOC4">
    <w:name w:val="toc 4"/>
    <w:basedOn w:val="Normal"/>
    <w:next w:val="Normal"/>
    <w:uiPriority w:val="39"/>
    <w:rsid w:val="00550A65"/>
    <w:pPr>
      <w:tabs>
        <w:tab w:val="right" w:leader="dot" w:pos="8641"/>
      </w:tabs>
      <w:spacing w:before="60" w:beforeAutospacing="1" w:after="60" w:afterAutospacing="1" w:line="240" w:lineRule="auto"/>
      <w:ind w:left="2880" w:right="720" w:hanging="964"/>
      <w:jc w:val="both"/>
    </w:pPr>
    <w:rPr>
      <w:rFonts w:eastAsia="Times New Roman"/>
      <w:szCs w:val="20"/>
    </w:rPr>
  </w:style>
  <w:style w:type="paragraph" w:styleId="TOC6">
    <w:name w:val="toc 6"/>
    <w:basedOn w:val="Normal"/>
    <w:next w:val="Normal"/>
    <w:autoRedefine/>
    <w:uiPriority w:val="39"/>
    <w:unhideWhenUsed/>
    <w:rsid w:val="00550A65"/>
    <w:pPr>
      <w:spacing w:before="100" w:beforeAutospacing="1" w:after="100" w:afterAutospacing="1" w:line="240" w:lineRule="auto"/>
      <w:ind w:left="1100"/>
      <w:jc w:val="both"/>
    </w:pPr>
    <w:rPr>
      <w:rFonts w:eastAsia="Times New Roman"/>
      <w:szCs w:val="20"/>
      <w:lang w:eastAsia="en-GB"/>
    </w:rPr>
  </w:style>
  <w:style w:type="paragraph" w:styleId="TOC7">
    <w:name w:val="toc 7"/>
    <w:basedOn w:val="Normal"/>
    <w:next w:val="Normal"/>
    <w:autoRedefine/>
    <w:uiPriority w:val="39"/>
    <w:unhideWhenUsed/>
    <w:rsid w:val="00550A65"/>
    <w:pPr>
      <w:spacing w:before="100" w:beforeAutospacing="1" w:after="100" w:afterAutospacing="1" w:line="240" w:lineRule="auto"/>
      <w:ind w:left="1320"/>
      <w:jc w:val="both"/>
    </w:pPr>
    <w:rPr>
      <w:rFonts w:eastAsia="Times New Roman"/>
      <w:szCs w:val="20"/>
      <w:lang w:eastAsia="en-GB"/>
    </w:rPr>
  </w:style>
  <w:style w:type="paragraph" w:styleId="TOC8">
    <w:name w:val="toc 8"/>
    <w:basedOn w:val="Normal"/>
    <w:next w:val="Normal"/>
    <w:autoRedefine/>
    <w:uiPriority w:val="39"/>
    <w:unhideWhenUsed/>
    <w:rsid w:val="00550A65"/>
    <w:pPr>
      <w:spacing w:before="100" w:beforeAutospacing="1" w:after="100" w:afterAutospacing="1" w:line="240" w:lineRule="auto"/>
      <w:ind w:left="1540"/>
      <w:jc w:val="both"/>
    </w:pPr>
    <w:rPr>
      <w:rFonts w:eastAsia="Times New Roman"/>
      <w:szCs w:val="20"/>
      <w:lang w:eastAsia="en-GB"/>
    </w:rPr>
  </w:style>
  <w:style w:type="paragraph" w:styleId="TOC9">
    <w:name w:val="toc 9"/>
    <w:basedOn w:val="Normal"/>
    <w:next w:val="Normal"/>
    <w:autoRedefine/>
    <w:uiPriority w:val="39"/>
    <w:unhideWhenUsed/>
    <w:rsid w:val="00550A65"/>
    <w:pPr>
      <w:spacing w:before="100" w:beforeAutospacing="1" w:after="100" w:afterAutospacing="1" w:line="240" w:lineRule="auto"/>
      <w:ind w:left="1760"/>
      <w:jc w:val="both"/>
    </w:pPr>
    <w:rPr>
      <w:rFonts w:eastAsia="Times New Roman"/>
      <w:szCs w:val="20"/>
      <w:lang w:eastAsia="en-GB"/>
    </w:rPr>
  </w:style>
  <w:style w:type="paragraph" w:styleId="Caption">
    <w:name w:val="caption"/>
    <w:basedOn w:val="Normal"/>
    <w:next w:val="Normal"/>
    <w:uiPriority w:val="35"/>
    <w:semiHidden/>
    <w:unhideWhenUsed/>
    <w:qFormat/>
    <w:rsid w:val="00550A65"/>
    <w:pPr>
      <w:spacing w:before="100" w:beforeAutospacing="1" w:after="100" w:afterAutospacing="1" w:line="240" w:lineRule="auto"/>
      <w:jc w:val="both"/>
    </w:pPr>
    <w:rPr>
      <w:rFonts w:eastAsia="Times New Roman"/>
      <w:b/>
      <w:bCs/>
      <w:caps/>
      <w:sz w:val="16"/>
      <w:szCs w:val="18"/>
      <w:lang w:eastAsia="en-GB"/>
    </w:rPr>
  </w:style>
  <w:style w:type="paragraph" w:styleId="Subtitle">
    <w:name w:val="Subtitle"/>
    <w:basedOn w:val="Normal"/>
    <w:next w:val="Normal"/>
    <w:link w:val="SubtitleChar"/>
    <w:uiPriority w:val="11"/>
    <w:rsid w:val="00550A65"/>
    <w:pPr>
      <w:spacing w:before="100" w:beforeAutospacing="1" w:after="720" w:afterAutospacing="1" w:line="240" w:lineRule="auto"/>
      <w:jc w:val="right"/>
    </w:pPr>
    <w:rPr>
      <w:rFonts w:ascii="Cambria" w:eastAsia="Times New Roman" w:hAnsi="Cambria"/>
      <w:lang w:eastAsia="en-GB"/>
    </w:rPr>
  </w:style>
  <w:style w:type="character" w:customStyle="1" w:styleId="SubtitleChar">
    <w:name w:val="Subtitle Char"/>
    <w:link w:val="Subtitle"/>
    <w:uiPriority w:val="11"/>
    <w:rsid w:val="00550A65"/>
    <w:rPr>
      <w:rFonts w:ascii="Cambria" w:eastAsia="Times New Roman" w:hAnsi="Cambria"/>
      <w:sz w:val="24"/>
      <w:szCs w:val="22"/>
    </w:rPr>
  </w:style>
  <w:style w:type="character" w:styleId="Strong">
    <w:name w:val="Strong"/>
    <w:uiPriority w:val="22"/>
    <w:qFormat/>
    <w:rsid w:val="00550A65"/>
    <w:rPr>
      <w:b/>
      <w:color w:val="C0504D"/>
    </w:rPr>
  </w:style>
  <w:style w:type="paragraph" w:styleId="NoSpacing">
    <w:name w:val="No Spacing"/>
    <w:basedOn w:val="Normal"/>
    <w:link w:val="NoSpacingChar"/>
    <w:uiPriority w:val="1"/>
    <w:qFormat/>
    <w:rsid w:val="00550A65"/>
    <w:pPr>
      <w:spacing w:before="100" w:beforeAutospacing="1" w:after="0" w:afterAutospacing="1" w:line="240" w:lineRule="auto"/>
      <w:jc w:val="both"/>
    </w:pPr>
    <w:rPr>
      <w:rFonts w:eastAsia="Times New Roman"/>
      <w:szCs w:val="20"/>
      <w:lang w:eastAsia="en-GB"/>
    </w:rPr>
  </w:style>
  <w:style w:type="character" w:customStyle="1" w:styleId="NoSpacingChar">
    <w:name w:val="No Spacing Char"/>
    <w:link w:val="NoSpacing"/>
    <w:uiPriority w:val="1"/>
    <w:rsid w:val="00550A65"/>
    <w:rPr>
      <w:rFonts w:ascii="Times New Roman" w:eastAsia="Times New Roman" w:hAnsi="Times New Roman"/>
      <w:sz w:val="24"/>
    </w:rPr>
  </w:style>
  <w:style w:type="paragraph" w:styleId="Quote">
    <w:name w:val="Quote"/>
    <w:basedOn w:val="Normal"/>
    <w:next w:val="Normal"/>
    <w:link w:val="QuoteChar"/>
    <w:uiPriority w:val="29"/>
    <w:rsid w:val="00550A65"/>
    <w:pPr>
      <w:spacing w:before="100" w:beforeAutospacing="1" w:after="100" w:afterAutospacing="1" w:line="240" w:lineRule="auto"/>
      <w:jc w:val="both"/>
    </w:pPr>
    <w:rPr>
      <w:rFonts w:eastAsia="Times New Roman"/>
      <w:i/>
      <w:szCs w:val="20"/>
      <w:lang w:eastAsia="en-GB"/>
    </w:rPr>
  </w:style>
  <w:style w:type="character" w:customStyle="1" w:styleId="QuoteChar">
    <w:name w:val="Quote Char"/>
    <w:link w:val="Quote"/>
    <w:uiPriority w:val="29"/>
    <w:rsid w:val="00550A65"/>
    <w:rPr>
      <w:rFonts w:ascii="Times New Roman" w:eastAsia="Times New Roman" w:hAnsi="Times New Roman"/>
      <w:i/>
      <w:sz w:val="24"/>
    </w:rPr>
  </w:style>
  <w:style w:type="paragraph" w:styleId="IntenseQuote">
    <w:name w:val="Intense Quote"/>
    <w:basedOn w:val="Normal"/>
    <w:next w:val="Normal"/>
    <w:link w:val="IntenseQuoteChar"/>
    <w:uiPriority w:val="30"/>
    <w:rsid w:val="00550A65"/>
    <w:pPr>
      <w:pBdr>
        <w:top w:val="single" w:sz="8" w:space="10" w:color="943634"/>
        <w:left w:val="single" w:sz="8" w:space="10" w:color="943634"/>
        <w:bottom w:val="single" w:sz="8" w:space="10" w:color="943634"/>
        <w:right w:val="single" w:sz="8" w:space="10" w:color="943634"/>
      </w:pBdr>
      <w:shd w:val="clear" w:color="auto" w:fill="C0504D"/>
      <w:spacing w:before="140" w:beforeAutospacing="1" w:after="140" w:afterAutospacing="1" w:line="240" w:lineRule="auto"/>
      <w:ind w:left="1440" w:right="1440"/>
      <w:jc w:val="both"/>
    </w:pPr>
    <w:rPr>
      <w:rFonts w:eastAsia="Times New Roman"/>
      <w:b/>
      <w:i/>
      <w:color w:val="FFFFFF"/>
      <w:szCs w:val="20"/>
      <w:lang w:eastAsia="en-GB"/>
    </w:rPr>
  </w:style>
  <w:style w:type="character" w:customStyle="1" w:styleId="IntenseQuoteChar">
    <w:name w:val="Intense Quote Char"/>
    <w:link w:val="IntenseQuote"/>
    <w:uiPriority w:val="30"/>
    <w:rsid w:val="00550A65"/>
    <w:rPr>
      <w:rFonts w:ascii="Times New Roman" w:eastAsia="Times New Roman" w:hAnsi="Times New Roman"/>
      <w:b/>
      <w:i/>
      <w:color w:val="FFFFFF"/>
      <w:sz w:val="24"/>
      <w:shd w:val="clear" w:color="auto" w:fill="C0504D"/>
    </w:rPr>
  </w:style>
  <w:style w:type="character" w:styleId="SubtleEmphasis">
    <w:name w:val="Subtle Emphasis"/>
    <w:uiPriority w:val="19"/>
    <w:rsid w:val="00550A65"/>
    <w:rPr>
      <w:i/>
    </w:rPr>
  </w:style>
  <w:style w:type="character" w:styleId="IntenseEmphasis">
    <w:name w:val="Intense Emphasis"/>
    <w:uiPriority w:val="21"/>
    <w:rsid w:val="00550A65"/>
    <w:rPr>
      <w:b/>
      <w:i/>
      <w:color w:val="C0504D"/>
      <w:spacing w:val="10"/>
    </w:rPr>
  </w:style>
  <w:style w:type="character" w:styleId="SubtleReference">
    <w:name w:val="Subtle Reference"/>
    <w:uiPriority w:val="31"/>
    <w:rsid w:val="00550A65"/>
    <w:rPr>
      <w:b/>
    </w:rPr>
  </w:style>
  <w:style w:type="character" w:styleId="IntenseReference">
    <w:name w:val="Intense Reference"/>
    <w:uiPriority w:val="32"/>
    <w:rsid w:val="00550A65"/>
    <w:rPr>
      <w:b/>
      <w:bCs/>
      <w:smallCaps/>
      <w:spacing w:val="5"/>
      <w:sz w:val="22"/>
      <w:szCs w:val="22"/>
      <w:u w:val="single"/>
    </w:rPr>
  </w:style>
  <w:style w:type="character" w:styleId="BookTitle">
    <w:name w:val="Book Title"/>
    <w:uiPriority w:val="33"/>
    <w:rsid w:val="00550A65"/>
    <w:rPr>
      <w:rFonts w:ascii="Cambria" w:eastAsia="Times New Roman" w:hAnsi="Cambria" w:cs="Times New Roman"/>
      <w:i/>
      <w:iCs/>
      <w:sz w:val="20"/>
      <w:szCs w:val="20"/>
    </w:rPr>
  </w:style>
  <w:style w:type="table" w:styleId="TableGrid">
    <w:name w:val="Table Grid"/>
    <w:basedOn w:val="TableNormal"/>
    <w:uiPriority w:val="59"/>
    <w:rsid w:val="00550A6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rsid w:val="00550A65"/>
    <w:pPr>
      <w:spacing w:before="240" w:after="120" w:line="240" w:lineRule="auto"/>
      <w:jc w:val="center"/>
    </w:pPr>
    <w:rPr>
      <w:rFonts w:eastAsia="Times New Roman"/>
      <w:b/>
      <w:bCs/>
      <w:szCs w:val="24"/>
      <w:lang w:eastAsia="en-GB"/>
    </w:rPr>
  </w:style>
  <w:style w:type="character" w:customStyle="1" w:styleId="ListDash3Char">
    <w:name w:val="List Dash 3 Char"/>
    <w:link w:val="ListDash3"/>
    <w:rsid w:val="00550A65"/>
    <w:rPr>
      <w:rFonts w:ascii="Times New Roman" w:eastAsia="Times New Roman" w:hAnsi="Times New Roman"/>
      <w:sz w:val="24"/>
      <w:lang w:eastAsia="en-US"/>
    </w:rPr>
  </w:style>
  <w:style w:type="paragraph" w:customStyle="1" w:styleId="1">
    <w:name w:val="1"/>
    <w:basedOn w:val="Normal"/>
    <w:link w:val="FootnoteReference"/>
    <w:uiPriority w:val="99"/>
    <w:qFormat/>
    <w:rsid w:val="00BB4956"/>
    <w:pPr>
      <w:spacing w:after="160" w:line="240" w:lineRule="exact"/>
    </w:pPr>
    <w:rPr>
      <w:sz w:val="20"/>
      <w:szCs w:val="20"/>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627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Reference xmlns="cbb01951-1c45-4a5c-a97e-d9358664634d" xsi:nil="true"/>
    <Documents xmlns="cbb01951-1c45-4a5c-a97e-d9358664634d">3. Annex II.A – Erasmus+ Grant agreements (master files)</Documents>
    <Year xmlns="cbb01951-1c45-4a5c-a97e-d9358664634d">2021</Year>
    <EC_Collab_DocumentLanguage xmlns="cbb01951-1c45-4a5c-a97e-d9358664634d">EN</EC_Collab_DocumentLanguage>
    <EC_Collab_Status xmlns="cbb01951-1c45-4a5c-a97e-d9358664634d">Final</EC_Collab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8968E-551A-427E-A8CB-F91554B80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7495EA-A5A4-472C-AF89-D6AFAEB8452B}">
  <ds:schemaRefs>
    <ds:schemaRef ds:uri="http://purl.org/dc/terms/"/>
    <ds:schemaRef ds:uri="cbb01951-1c45-4a5c-a97e-d9358664634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6F550AC-3517-4C1E-AC81-FD4789553D9C}">
  <ds:schemaRefs>
    <ds:schemaRef ds:uri="http://schemas.microsoft.com/sharepoint/v3/contenttype/forms"/>
  </ds:schemaRefs>
</ds:datastoreItem>
</file>

<file path=customXml/itemProps4.xml><?xml version="1.0" encoding="utf-8"?>
<ds:datastoreItem xmlns:ds="http://schemas.openxmlformats.org/officeDocument/2006/customXml" ds:itemID="{BF6235FF-9D98-4D6A-8D13-0C049CEDF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13922</Words>
  <Characters>78248</Characters>
  <Application>Microsoft Office Word</Application>
  <DocSecurity>0</DocSecurity>
  <Lines>1422</Lines>
  <Paragraphs>768</Paragraphs>
  <ScaleCrop>false</ScaleCrop>
  <HeadingPairs>
    <vt:vector size="6" baseType="variant">
      <vt:variant>
        <vt:lpstr>Title</vt:lpstr>
      </vt:variant>
      <vt:variant>
        <vt:i4>1</vt:i4>
      </vt:variant>
      <vt:variant>
        <vt:lpstr>Titre</vt:lpstr>
      </vt:variant>
      <vt:variant>
        <vt:i4>1</vt:i4>
      </vt:variant>
      <vt:variant>
        <vt:lpstr>Titres</vt:lpstr>
      </vt:variant>
      <vt:variant>
        <vt:i4>80</vt:i4>
      </vt:variant>
    </vt:vector>
  </HeadingPairs>
  <TitlesOfParts>
    <vt:vector size="82" baseType="lpstr">
      <vt:lpstr>GRANT AGREEMENT FOR AN ACTION WITH ONE BENEFICIARY</vt:lpstr>
      <vt:lpstr>GRANT AGREEMENT FOR AN ACTION WITH MULTIPLE BENEFICIARIES</vt:lpstr>
      <vt:lpstr>SPECIAL CONDITIONS</vt:lpstr>
      <vt:lpstr>    ARTICLE I.1 – SUBJECT MATTER OF THE AGREEMENT </vt:lpstr>
      <vt:lpstr>    ARTICLE I.2 – ENTRY INTO FORCE AND IMPLEMENTATION PERIOD OF THE AGREEMENT</vt:lpstr>
      <vt:lpstr>        I.4.3	Request[s] for interim payment[s] and supporting documents</vt:lpstr>
      <vt:lpstr>        I.4.4	Request for payment of the balance and supporting documents  </vt:lpstr>
      <vt:lpstr>        I.4.2	Periodic report[s] — Request[s] for second [and][,] third][and][,][fourth]</vt:lpstr>
      <vt:lpstr>        I.4.3	Periodic report[s] — Request[s] for interim payment[s]</vt:lpstr>
      <vt:lpstr>        I.4.4	Final report — Request for payment of the balance</vt:lpstr>
      <vt:lpstr>        I.4.2	Periodic report — Request for second pre-financing payment</vt:lpstr>
      <vt:lpstr>        I.4.3	Periodic report — Request for interim payment  </vt:lpstr>
      <vt:lpstr>        I.4.4	Final report — Request for payment of the balance</vt:lpstr>
      <vt:lpstr>        I.4.5	Information on cumulative expenditure incurred</vt:lpstr>
      <vt:lpstr>        I.4.6	Currency for [Option to be used if the parties do not communicate through </vt:lpstr>
      <vt:lpstr>        I.4.7	Language of [Option to be used if the parties do not communicate through t</vt:lpstr>
      <vt:lpstr>    </vt:lpstr>
      <vt:lpstr>    Article I.5 — Payments and Payment arrangements</vt:lpstr>
      <vt:lpstr>        I.5.1	Payments to be made</vt:lpstr>
      <vt:lpstr>        I.5.2	Pre-financing payment[s]</vt:lpstr>
      <vt:lpstr>        I.5.3	Interim payment[s]</vt:lpstr>
      <vt:lpstr>        I.5.4	Payment of the balance</vt:lpstr>
      <vt:lpstr>        I.5.5	Notification of amounts due</vt:lpstr>
      <vt:lpstr>        I.5.6	Interest on late payment</vt:lpstr>
      <vt:lpstr>        I.5.7	Currency for payments</vt:lpstr>
      <vt:lpstr>        I.5.8	Date of payment</vt:lpstr>
      <vt:lpstr>        I.5.9	Costs of payment transfers</vt:lpstr>
      <vt:lpstr>        I.5.10	Payments to the beneficiary</vt:lpstr>
      <vt:lpstr>    Article I.6 — Bank account for payments</vt:lpstr>
      <vt:lpstr>    Article I.7 — Data controller, communication details of the parties [Option to b</vt:lpstr>
      <vt:lpstr>        I.7.1	Data controller</vt:lpstr>
      <vt:lpstr>        I.7.2	Communication details of the Commission</vt:lpstr>
      <vt:lpstr>        I.7.3	Communication details of the beneficiary</vt:lpstr>
      <vt:lpstr>        I.7.2 Communication details until payment of the balance</vt:lpstr>
      <vt:lpstr>        I.7.3	Communication details of the Commission after payment of the balance</vt:lpstr>
      <vt:lpstr>        I.7.4	Communication details of the beneficiary after payment of the balance</vt:lpstr>
      <vt:lpstr>    [Article I.XX — Entities affiliated to the beneficiarY </vt:lpstr>
      <vt:lpstr>    [Article I.XX — Additional provisions on the reimbursement of costs declared on </vt:lpstr>
      <vt:lpstr>    [Article I.XX — Additional provisions on use of the results (including intellect</vt:lpstr>
      <vt:lpstr>    [Article I.XX — Special provisions on the financial responsibility for recoveri</vt:lpstr>
      <vt:lpstr>    [Article I.XX — Inapplicability of the no-profit principle</vt:lpstr>
      <vt:lpstr>    [Article I.XX — Eligibility of equipment costs</vt:lpstr>
      <vt:lpstr>    [Article I.XX — Ineligibility of value added tax</vt:lpstr>
      <vt:lpstr>    [Article I.XX — Special provisions on budget transfers </vt:lpstr>
      <vt:lpstr>    [Article I.XX — Special provisions on budget transfers involving use oF provisio</vt:lpstr>
      <vt:lpstr>    [Article I.XX — Settlement of disputes with the non-EU beneficiary </vt:lpstr>
      <vt:lpstr>    [Article I.XX — The Beneficiary which is an international organisation </vt:lpstr>
      <vt:lpstr>        I.XX.4	Applicable law</vt:lpstr>
      <vt:lpstr>        I.XX.1	Dispute settlement — Arbitration</vt:lpstr>
      <vt:lpstr>        I.XX.2	[Certificates on the financial statements] [and] [certificates on the com</vt:lpstr>
      <vt:lpstr>        I.XX.3	Checks and audits</vt:lpstr>
      <vt:lpstr>        I.XX.5	Privileges and immunities</vt:lpstr>
      <vt:lpstr>PART A — LEGAL AND ADMINISTRATIVE PROVISIONS</vt:lpstr>
      <vt:lpstr>    Article II.1 — Definitions</vt:lpstr>
      <vt:lpstr>    Article II.2 — General obligations of the beneficiary</vt:lpstr>
      <vt:lpstr>    Article II.3 — Communication between the parties</vt:lpstr>
      <vt:lpstr>        II.3.1	Form and means of communication</vt:lpstr>
      <vt:lpstr>        II.3.2	Date of communications</vt:lpstr>
      <vt:lpstr>        II.3.1 Form and means of communication</vt:lpstr>
      <vt:lpstr>        II.3.2 Date of communication</vt:lpstr>
      <vt:lpstr>    Article II.4 — Liability for damages</vt:lpstr>
      <vt:lpstr>    Article II.5 — Conflict of interests</vt:lpstr>
      <vt:lpstr>    Article II.6 — Confidentiality</vt:lpstr>
      <vt:lpstr>    Article II.7 — Processing of personal data</vt:lpstr>
      <vt:lpstr>        II.7.1	Processing of personal data by the Commission</vt:lpstr>
      <vt:lpstr>        II.7.2	Processing of personal data by the beneficiary</vt:lpstr>
      <vt:lpstr>    Article II.8 — Visibility of Union funding</vt:lpstr>
      <vt:lpstr>        II.8.1	Information on Union funding and use of the European Union emblem</vt:lpstr>
      <vt:lpstr>        II.8.2	Disclaimers excluding Commission responsibility</vt:lpstr>
      <vt:lpstr>    Article II.9 — Pre-existing rights and ownership and use of the results (includi</vt:lpstr>
      <vt:lpstr>        II.9.1	Ownership of the results by the beneficiary</vt:lpstr>
      <vt:lpstr>        II.9.2	Pre-existing rights</vt:lpstr>
      <vt:lpstr>        II.9.3	Rights of use of the results and of pre-existing rights by the Union</vt:lpstr>
      <vt:lpstr>    Article II.10 — Award of contracts necessary for the implementation of the actio</vt:lpstr>
      <vt:lpstr>    Article II.11 — Subcontracting of tasks forming part of the action</vt:lpstr>
      <vt:lpstr>    Article II.12 — Financial support to third parties</vt:lpstr>
      <vt:lpstr>    Article II.13 — Amendments to the agreement</vt:lpstr>
      <vt:lpstr>    Article II.14 — Assignment of claims for payments to third parties</vt:lpstr>
      <vt:lpstr>    Article II.15 — Force majeure</vt:lpstr>
      <vt:lpstr>    Article II.16 — Suspension of the implementation of the action</vt:lpstr>
      <vt:lpstr>        II.16.1	Suspension of implementation by the beneficiary</vt:lpstr>
      <vt:lpstr>        II.16.2	Suspension of implementation by the Commission</vt:lpstr>
    </vt:vector>
  </TitlesOfParts>
  <Company>European Commission</Company>
  <LinksUpToDate>false</LinksUpToDate>
  <CharactersWithSpaces>91402</CharactersWithSpaces>
  <SharedDoc>false</SharedDoc>
  <HLinks>
    <vt:vector size="786" baseType="variant">
      <vt:variant>
        <vt:i4>4587560</vt:i4>
      </vt:variant>
      <vt:variant>
        <vt:i4>768</vt:i4>
      </vt:variant>
      <vt:variant>
        <vt:i4>0</vt:i4>
      </vt:variant>
      <vt:variant>
        <vt:i4>5</vt:i4>
      </vt:variant>
      <vt:variant>
        <vt:lpwstr>http://ec.europa.eu/budget/contracts_grants/info_contracts/inforeuro/inforeuro_en.cfm</vt:lpwstr>
      </vt:variant>
      <vt:variant>
        <vt:lpwstr/>
      </vt:variant>
      <vt:variant>
        <vt:i4>4718617</vt:i4>
      </vt:variant>
      <vt:variant>
        <vt:i4>765</vt:i4>
      </vt:variant>
      <vt:variant>
        <vt:i4>0</vt:i4>
      </vt:variant>
      <vt:variant>
        <vt:i4>5</vt:i4>
      </vt:variant>
      <vt:variant>
        <vt:lpwstr>http://www.ecb.europa.eu/stats/exchange/eurofxref/html/index.en.html</vt:lpwstr>
      </vt:variant>
      <vt:variant>
        <vt:lpwstr/>
      </vt:variant>
      <vt:variant>
        <vt:i4>4587560</vt:i4>
      </vt:variant>
      <vt:variant>
        <vt:i4>762</vt:i4>
      </vt:variant>
      <vt:variant>
        <vt:i4>0</vt:i4>
      </vt:variant>
      <vt:variant>
        <vt:i4>5</vt:i4>
      </vt:variant>
      <vt:variant>
        <vt:lpwstr>http://ec.europa.eu/budget/contracts_grants/info_contracts/inforeuro/inforeuro_en.cfm</vt:lpwstr>
      </vt:variant>
      <vt:variant>
        <vt:lpwstr/>
      </vt:variant>
      <vt:variant>
        <vt:i4>4718617</vt:i4>
      </vt:variant>
      <vt:variant>
        <vt:i4>759</vt:i4>
      </vt:variant>
      <vt:variant>
        <vt:i4>0</vt:i4>
      </vt:variant>
      <vt:variant>
        <vt:i4>5</vt:i4>
      </vt:variant>
      <vt:variant>
        <vt:lpwstr>http://www.ecb.europa.eu/stats/exchange/eurofxref/html/index.en.html</vt:lpwstr>
      </vt:variant>
      <vt:variant>
        <vt:lpwstr/>
      </vt:variant>
      <vt:variant>
        <vt:i4>4587560</vt:i4>
      </vt:variant>
      <vt:variant>
        <vt:i4>756</vt:i4>
      </vt:variant>
      <vt:variant>
        <vt:i4>0</vt:i4>
      </vt:variant>
      <vt:variant>
        <vt:i4>5</vt:i4>
      </vt:variant>
      <vt:variant>
        <vt:lpwstr>http://ec.europa.eu/budget/contracts_grants/info_contracts/inforeuro/inforeuro_en.cfm</vt:lpwstr>
      </vt:variant>
      <vt:variant>
        <vt:lpwstr/>
      </vt:variant>
      <vt:variant>
        <vt:i4>4718617</vt:i4>
      </vt:variant>
      <vt:variant>
        <vt:i4>753</vt:i4>
      </vt:variant>
      <vt:variant>
        <vt:i4>0</vt:i4>
      </vt:variant>
      <vt:variant>
        <vt:i4>5</vt:i4>
      </vt:variant>
      <vt:variant>
        <vt:lpwstr>http://www.ecb.europa.eu/stats/exchange/eurofxref/html/index.en.html</vt:lpwstr>
      </vt:variant>
      <vt:variant>
        <vt:lpwstr/>
      </vt:variant>
      <vt:variant>
        <vt:i4>1048626</vt:i4>
      </vt:variant>
      <vt:variant>
        <vt:i4>746</vt:i4>
      </vt:variant>
      <vt:variant>
        <vt:i4>0</vt:i4>
      </vt:variant>
      <vt:variant>
        <vt:i4>5</vt:i4>
      </vt:variant>
      <vt:variant>
        <vt:lpwstr/>
      </vt:variant>
      <vt:variant>
        <vt:lpwstr>_Toc453326778</vt:lpwstr>
      </vt:variant>
      <vt:variant>
        <vt:i4>1048626</vt:i4>
      </vt:variant>
      <vt:variant>
        <vt:i4>740</vt:i4>
      </vt:variant>
      <vt:variant>
        <vt:i4>0</vt:i4>
      </vt:variant>
      <vt:variant>
        <vt:i4>5</vt:i4>
      </vt:variant>
      <vt:variant>
        <vt:lpwstr/>
      </vt:variant>
      <vt:variant>
        <vt:lpwstr>_Toc453326777</vt:lpwstr>
      </vt:variant>
      <vt:variant>
        <vt:i4>1048626</vt:i4>
      </vt:variant>
      <vt:variant>
        <vt:i4>734</vt:i4>
      </vt:variant>
      <vt:variant>
        <vt:i4>0</vt:i4>
      </vt:variant>
      <vt:variant>
        <vt:i4>5</vt:i4>
      </vt:variant>
      <vt:variant>
        <vt:lpwstr/>
      </vt:variant>
      <vt:variant>
        <vt:lpwstr>_Toc453326776</vt:lpwstr>
      </vt:variant>
      <vt:variant>
        <vt:i4>1048626</vt:i4>
      </vt:variant>
      <vt:variant>
        <vt:i4>728</vt:i4>
      </vt:variant>
      <vt:variant>
        <vt:i4>0</vt:i4>
      </vt:variant>
      <vt:variant>
        <vt:i4>5</vt:i4>
      </vt:variant>
      <vt:variant>
        <vt:lpwstr/>
      </vt:variant>
      <vt:variant>
        <vt:lpwstr>_Toc453326775</vt:lpwstr>
      </vt:variant>
      <vt:variant>
        <vt:i4>1048626</vt:i4>
      </vt:variant>
      <vt:variant>
        <vt:i4>722</vt:i4>
      </vt:variant>
      <vt:variant>
        <vt:i4>0</vt:i4>
      </vt:variant>
      <vt:variant>
        <vt:i4>5</vt:i4>
      </vt:variant>
      <vt:variant>
        <vt:lpwstr/>
      </vt:variant>
      <vt:variant>
        <vt:lpwstr>_Toc453326774</vt:lpwstr>
      </vt:variant>
      <vt:variant>
        <vt:i4>1048626</vt:i4>
      </vt:variant>
      <vt:variant>
        <vt:i4>716</vt:i4>
      </vt:variant>
      <vt:variant>
        <vt:i4>0</vt:i4>
      </vt:variant>
      <vt:variant>
        <vt:i4>5</vt:i4>
      </vt:variant>
      <vt:variant>
        <vt:lpwstr/>
      </vt:variant>
      <vt:variant>
        <vt:lpwstr>_Toc453326773</vt:lpwstr>
      </vt:variant>
      <vt:variant>
        <vt:i4>1048626</vt:i4>
      </vt:variant>
      <vt:variant>
        <vt:i4>710</vt:i4>
      </vt:variant>
      <vt:variant>
        <vt:i4>0</vt:i4>
      </vt:variant>
      <vt:variant>
        <vt:i4>5</vt:i4>
      </vt:variant>
      <vt:variant>
        <vt:lpwstr/>
      </vt:variant>
      <vt:variant>
        <vt:lpwstr>_Toc453326772</vt:lpwstr>
      </vt:variant>
      <vt:variant>
        <vt:i4>1048626</vt:i4>
      </vt:variant>
      <vt:variant>
        <vt:i4>704</vt:i4>
      </vt:variant>
      <vt:variant>
        <vt:i4>0</vt:i4>
      </vt:variant>
      <vt:variant>
        <vt:i4>5</vt:i4>
      </vt:variant>
      <vt:variant>
        <vt:lpwstr/>
      </vt:variant>
      <vt:variant>
        <vt:lpwstr>_Toc453326771</vt:lpwstr>
      </vt:variant>
      <vt:variant>
        <vt:i4>1048626</vt:i4>
      </vt:variant>
      <vt:variant>
        <vt:i4>698</vt:i4>
      </vt:variant>
      <vt:variant>
        <vt:i4>0</vt:i4>
      </vt:variant>
      <vt:variant>
        <vt:i4>5</vt:i4>
      </vt:variant>
      <vt:variant>
        <vt:lpwstr/>
      </vt:variant>
      <vt:variant>
        <vt:lpwstr>_Toc453326770</vt:lpwstr>
      </vt:variant>
      <vt:variant>
        <vt:i4>1114162</vt:i4>
      </vt:variant>
      <vt:variant>
        <vt:i4>692</vt:i4>
      </vt:variant>
      <vt:variant>
        <vt:i4>0</vt:i4>
      </vt:variant>
      <vt:variant>
        <vt:i4>5</vt:i4>
      </vt:variant>
      <vt:variant>
        <vt:lpwstr/>
      </vt:variant>
      <vt:variant>
        <vt:lpwstr>_Toc453326769</vt:lpwstr>
      </vt:variant>
      <vt:variant>
        <vt:i4>1114162</vt:i4>
      </vt:variant>
      <vt:variant>
        <vt:i4>686</vt:i4>
      </vt:variant>
      <vt:variant>
        <vt:i4>0</vt:i4>
      </vt:variant>
      <vt:variant>
        <vt:i4>5</vt:i4>
      </vt:variant>
      <vt:variant>
        <vt:lpwstr/>
      </vt:variant>
      <vt:variant>
        <vt:lpwstr>_Toc453326768</vt:lpwstr>
      </vt:variant>
      <vt:variant>
        <vt:i4>1114162</vt:i4>
      </vt:variant>
      <vt:variant>
        <vt:i4>680</vt:i4>
      </vt:variant>
      <vt:variant>
        <vt:i4>0</vt:i4>
      </vt:variant>
      <vt:variant>
        <vt:i4>5</vt:i4>
      </vt:variant>
      <vt:variant>
        <vt:lpwstr/>
      </vt:variant>
      <vt:variant>
        <vt:lpwstr>_Toc453326767</vt:lpwstr>
      </vt:variant>
      <vt:variant>
        <vt:i4>1114162</vt:i4>
      </vt:variant>
      <vt:variant>
        <vt:i4>674</vt:i4>
      </vt:variant>
      <vt:variant>
        <vt:i4>0</vt:i4>
      </vt:variant>
      <vt:variant>
        <vt:i4>5</vt:i4>
      </vt:variant>
      <vt:variant>
        <vt:lpwstr/>
      </vt:variant>
      <vt:variant>
        <vt:lpwstr>_Toc453326766</vt:lpwstr>
      </vt:variant>
      <vt:variant>
        <vt:i4>1114162</vt:i4>
      </vt:variant>
      <vt:variant>
        <vt:i4>668</vt:i4>
      </vt:variant>
      <vt:variant>
        <vt:i4>0</vt:i4>
      </vt:variant>
      <vt:variant>
        <vt:i4>5</vt:i4>
      </vt:variant>
      <vt:variant>
        <vt:lpwstr/>
      </vt:variant>
      <vt:variant>
        <vt:lpwstr>_Toc453326765</vt:lpwstr>
      </vt:variant>
      <vt:variant>
        <vt:i4>1114162</vt:i4>
      </vt:variant>
      <vt:variant>
        <vt:i4>662</vt:i4>
      </vt:variant>
      <vt:variant>
        <vt:i4>0</vt:i4>
      </vt:variant>
      <vt:variant>
        <vt:i4>5</vt:i4>
      </vt:variant>
      <vt:variant>
        <vt:lpwstr/>
      </vt:variant>
      <vt:variant>
        <vt:lpwstr>_Toc453326764</vt:lpwstr>
      </vt:variant>
      <vt:variant>
        <vt:i4>1114162</vt:i4>
      </vt:variant>
      <vt:variant>
        <vt:i4>656</vt:i4>
      </vt:variant>
      <vt:variant>
        <vt:i4>0</vt:i4>
      </vt:variant>
      <vt:variant>
        <vt:i4>5</vt:i4>
      </vt:variant>
      <vt:variant>
        <vt:lpwstr/>
      </vt:variant>
      <vt:variant>
        <vt:lpwstr>_Toc453326763</vt:lpwstr>
      </vt:variant>
      <vt:variant>
        <vt:i4>1114162</vt:i4>
      </vt:variant>
      <vt:variant>
        <vt:i4>650</vt:i4>
      </vt:variant>
      <vt:variant>
        <vt:i4>0</vt:i4>
      </vt:variant>
      <vt:variant>
        <vt:i4>5</vt:i4>
      </vt:variant>
      <vt:variant>
        <vt:lpwstr/>
      </vt:variant>
      <vt:variant>
        <vt:lpwstr>_Toc453326762</vt:lpwstr>
      </vt:variant>
      <vt:variant>
        <vt:i4>1114162</vt:i4>
      </vt:variant>
      <vt:variant>
        <vt:i4>644</vt:i4>
      </vt:variant>
      <vt:variant>
        <vt:i4>0</vt:i4>
      </vt:variant>
      <vt:variant>
        <vt:i4>5</vt:i4>
      </vt:variant>
      <vt:variant>
        <vt:lpwstr/>
      </vt:variant>
      <vt:variant>
        <vt:lpwstr>_Toc453326761</vt:lpwstr>
      </vt:variant>
      <vt:variant>
        <vt:i4>1114162</vt:i4>
      </vt:variant>
      <vt:variant>
        <vt:i4>638</vt:i4>
      </vt:variant>
      <vt:variant>
        <vt:i4>0</vt:i4>
      </vt:variant>
      <vt:variant>
        <vt:i4>5</vt:i4>
      </vt:variant>
      <vt:variant>
        <vt:lpwstr/>
      </vt:variant>
      <vt:variant>
        <vt:lpwstr>_Toc453326760</vt:lpwstr>
      </vt:variant>
      <vt:variant>
        <vt:i4>1179698</vt:i4>
      </vt:variant>
      <vt:variant>
        <vt:i4>632</vt:i4>
      </vt:variant>
      <vt:variant>
        <vt:i4>0</vt:i4>
      </vt:variant>
      <vt:variant>
        <vt:i4>5</vt:i4>
      </vt:variant>
      <vt:variant>
        <vt:lpwstr/>
      </vt:variant>
      <vt:variant>
        <vt:lpwstr>_Toc453326759</vt:lpwstr>
      </vt:variant>
      <vt:variant>
        <vt:i4>1179698</vt:i4>
      </vt:variant>
      <vt:variant>
        <vt:i4>626</vt:i4>
      </vt:variant>
      <vt:variant>
        <vt:i4>0</vt:i4>
      </vt:variant>
      <vt:variant>
        <vt:i4>5</vt:i4>
      </vt:variant>
      <vt:variant>
        <vt:lpwstr/>
      </vt:variant>
      <vt:variant>
        <vt:lpwstr>_Toc453326758</vt:lpwstr>
      </vt:variant>
      <vt:variant>
        <vt:i4>1179698</vt:i4>
      </vt:variant>
      <vt:variant>
        <vt:i4>620</vt:i4>
      </vt:variant>
      <vt:variant>
        <vt:i4>0</vt:i4>
      </vt:variant>
      <vt:variant>
        <vt:i4>5</vt:i4>
      </vt:variant>
      <vt:variant>
        <vt:lpwstr/>
      </vt:variant>
      <vt:variant>
        <vt:lpwstr>_Toc453326757</vt:lpwstr>
      </vt:variant>
      <vt:variant>
        <vt:i4>1179698</vt:i4>
      </vt:variant>
      <vt:variant>
        <vt:i4>614</vt:i4>
      </vt:variant>
      <vt:variant>
        <vt:i4>0</vt:i4>
      </vt:variant>
      <vt:variant>
        <vt:i4>5</vt:i4>
      </vt:variant>
      <vt:variant>
        <vt:lpwstr/>
      </vt:variant>
      <vt:variant>
        <vt:lpwstr>_Toc453326756</vt:lpwstr>
      </vt:variant>
      <vt:variant>
        <vt:i4>1179698</vt:i4>
      </vt:variant>
      <vt:variant>
        <vt:i4>608</vt:i4>
      </vt:variant>
      <vt:variant>
        <vt:i4>0</vt:i4>
      </vt:variant>
      <vt:variant>
        <vt:i4>5</vt:i4>
      </vt:variant>
      <vt:variant>
        <vt:lpwstr/>
      </vt:variant>
      <vt:variant>
        <vt:lpwstr>_Toc453326755</vt:lpwstr>
      </vt:variant>
      <vt:variant>
        <vt:i4>1179698</vt:i4>
      </vt:variant>
      <vt:variant>
        <vt:i4>602</vt:i4>
      </vt:variant>
      <vt:variant>
        <vt:i4>0</vt:i4>
      </vt:variant>
      <vt:variant>
        <vt:i4>5</vt:i4>
      </vt:variant>
      <vt:variant>
        <vt:lpwstr/>
      </vt:variant>
      <vt:variant>
        <vt:lpwstr>_Toc453326754</vt:lpwstr>
      </vt:variant>
      <vt:variant>
        <vt:i4>1179698</vt:i4>
      </vt:variant>
      <vt:variant>
        <vt:i4>596</vt:i4>
      </vt:variant>
      <vt:variant>
        <vt:i4>0</vt:i4>
      </vt:variant>
      <vt:variant>
        <vt:i4>5</vt:i4>
      </vt:variant>
      <vt:variant>
        <vt:lpwstr/>
      </vt:variant>
      <vt:variant>
        <vt:lpwstr>_Toc453326753</vt:lpwstr>
      </vt:variant>
      <vt:variant>
        <vt:i4>1179698</vt:i4>
      </vt:variant>
      <vt:variant>
        <vt:i4>590</vt:i4>
      </vt:variant>
      <vt:variant>
        <vt:i4>0</vt:i4>
      </vt:variant>
      <vt:variant>
        <vt:i4>5</vt:i4>
      </vt:variant>
      <vt:variant>
        <vt:lpwstr/>
      </vt:variant>
      <vt:variant>
        <vt:lpwstr>_Toc453326752</vt:lpwstr>
      </vt:variant>
      <vt:variant>
        <vt:i4>1179698</vt:i4>
      </vt:variant>
      <vt:variant>
        <vt:i4>584</vt:i4>
      </vt:variant>
      <vt:variant>
        <vt:i4>0</vt:i4>
      </vt:variant>
      <vt:variant>
        <vt:i4>5</vt:i4>
      </vt:variant>
      <vt:variant>
        <vt:lpwstr/>
      </vt:variant>
      <vt:variant>
        <vt:lpwstr>_Toc453326751</vt:lpwstr>
      </vt:variant>
      <vt:variant>
        <vt:i4>1179698</vt:i4>
      </vt:variant>
      <vt:variant>
        <vt:i4>578</vt:i4>
      </vt:variant>
      <vt:variant>
        <vt:i4>0</vt:i4>
      </vt:variant>
      <vt:variant>
        <vt:i4>5</vt:i4>
      </vt:variant>
      <vt:variant>
        <vt:lpwstr/>
      </vt:variant>
      <vt:variant>
        <vt:lpwstr>_Toc453326750</vt:lpwstr>
      </vt:variant>
      <vt:variant>
        <vt:i4>1245234</vt:i4>
      </vt:variant>
      <vt:variant>
        <vt:i4>572</vt:i4>
      </vt:variant>
      <vt:variant>
        <vt:i4>0</vt:i4>
      </vt:variant>
      <vt:variant>
        <vt:i4>5</vt:i4>
      </vt:variant>
      <vt:variant>
        <vt:lpwstr/>
      </vt:variant>
      <vt:variant>
        <vt:lpwstr>_Toc453326749</vt:lpwstr>
      </vt:variant>
      <vt:variant>
        <vt:i4>1245234</vt:i4>
      </vt:variant>
      <vt:variant>
        <vt:i4>566</vt:i4>
      </vt:variant>
      <vt:variant>
        <vt:i4>0</vt:i4>
      </vt:variant>
      <vt:variant>
        <vt:i4>5</vt:i4>
      </vt:variant>
      <vt:variant>
        <vt:lpwstr/>
      </vt:variant>
      <vt:variant>
        <vt:lpwstr>_Toc453326748</vt:lpwstr>
      </vt:variant>
      <vt:variant>
        <vt:i4>1245234</vt:i4>
      </vt:variant>
      <vt:variant>
        <vt:i4>560</vt:i4>
      </vt:variant>
      <vt:variant>
        <vt:i4>0</vt:i4>
      </vt:variant>
      <vt:variant>
        <vt:i4>5</vt:i4>
      </vt:variant>
      <vt:variant>
        <vt:lpwstr/>
      </vt:variant>
      <vt:variant>
        <vt:lpwstr>_Toc453326747</vt:lpwstr>
      </vt:variant>
      <vt:variant>
        <vt:i4>1245234</vt:i4>
      </vt:variant>
      <vt:variant>
        <vt:i4>554</vt:i4>
      </vt:variant>
      <vt:variant>
        <vt:i4>0</vt:i4>
      </vt:variant>
      <vt:variant>
        <vt:i4>5</vt:i4>
      </vt:variant>
      <vt:variant>
        <vt:lpwstr/>
      </vt:variant>
      <vt:variant>
        <vt:lpwstr>_Toc453326746</vt:lpwstr>
      </vt:variant>
      <vt:variant>
        <vt:i4>1245234</vt:i4>
      </vt:variant>
      <vt:variant>
        <vt:i4>548</vt:i4>
      </vt:variant>
      <vt:variant>
        <vt:i4>0</vt:i4>
      </vt:variant>
      <vt:variant>
        <vt:i4>5</vt:i4>
      </vt:variant>
      <vt:variant>
        <vt:lpwstr/>
      </vt:variant>
      <vt:variant>
        <vt:lpwstr>_Toc453326745</vt:lpwstr>
      </vt:variant>
      <vt:variant>
        <vt:i4>1245234</vt:i4>
      </vt:variant>
      <vt:variant>
        <vt:i4>542</vt:i4>
      </vt:variant>
      <vt:variant>
        <vt:i4>0</vt:i4>
      </vt:variant>
      <vt:variant>
        <vt:i4>5</vt:i4>
      </vt:variant>
      <vt:variant>
        <vt:lpwstr/>
      </vt:variant>
      <vt:variant>
        <vt:lpwstr>_Toc453326744</vt:lpwstr>
      </vt:variant>
      <vt:variant>
        <vt:i4>1245234</vt:i4>
      </vt:variant>
      <vt:variant>
        <vt:i4>536</vt:i4>
      </vt:variant>
      <vt:variant>
        <vt:i4>0</vt:i4>
      </vt:variant>
      <vt:variant>
        <vt:i4>5</vt:i4>
      </vt:variant>
      <vt:variant>
        <vt:lpwstr/>
      </vt:variant>
      <vt:variant>
        <vt:lpwstr>_Toc453326743</vt:lpwstr>
      </vt:variant>
      <vt:variant>
        <vt:i4>1245234</vt:i4>
      </vt:variant>
      <vt:variant>
        <vt:i4>530</vt:i4>
      </vt:variant>
      <vt:variant>
        <vt:i4>0</vt:i4>
      </vt:variant>
      <vt:variant>
        <vt:i4>5</vt:i4>
      </vt:variant>
      <vt:variant>
        <vt:lpwstr/>
      </vt:variant>
      <vt:variant>
        <vt:lpwstr>_Toc453326742</vt:lpwstr>
      </vt:variant>
      <vt:variant>
        <vt:i4>1245234</vt:i4>
      </vt:variant>
      <vt:variant>
        <vt:i4>524</vt:i4>
      </vt:variant>
      <vt:variant>
        <vt:i4>0</vt:i4>
      </vt:variant>
      <vt:variant>
        <vt:i4>5</vt:i4>
      </vt:variant>
      <vt:variant>
        <vt:lpwstr/>
      </vt:variant>
      <vt:variant>
        <vt:lpwstr>_Toc453326741</vt:lpwstr>
      </vt:variant>
      <vt:variant>
        <vt:i4>1245234</vt:i4>
      </vt:variant>
      <vt:variant>
        <vt:i4>518</vt:i4>
      </vt:variant>
      <vt:variant>
        <vt:i4>0</vt:i4>
      </vt:variant>
      <vt:variant>
        <vt:i4>5</vt:i4>
      </vt:variant>
      <vt:variant>
        <vt:lpwstr/>
      </vt:variant>
      <vt:variant>
        <vt:lpwstr>_Toc453326740</vt:lpwstr>
      </vt:variant>
      <vt:variant>
        <vt:i4>1310770</vt:i4>
      </vt:variant>
      <vt:variant>
        <vt:i4>512</vt:i4>
      </vt:variant>
      <vt:variant>
        <vt:i4>0</vt:i4>
      </vt:variant>
      <vt:variant>
        <vt:i4>5</vt:i4>
      </vt:variant>
      <vt:variant>
        <vt:lpwstr/>
      </vt:variant>
      <vt:variant>
        <vt:lpwstr>_Toc453326739</vt:lpwstr>
      </vt:variant>
      <vt:variant>
        <vt:i4>1310770</vt:i4>
      </vt:variant>
      <vt:variant>
        <vt:i4>506</vt:i4>
      </vt:variant>
      <vt:variant>
        <vt:i4>0</vt:i4>
      </vt:variant>
      <vt:variant>
        <vt:i4>5</vt:i4>
      </vt:variant>
      <vt:variant>
        <vt:lpwstr/>
      </vt:variant>
      <vt:variant>
        <vt:lpwstr>_Toc453326738</vt:lpwstr>
      </vt:variant>
      <vt:variant>
        <vt:i4>1310770</vt:i4>
      </vt:variant>
      <vt:variant>
        <vt:i4>500</vt:i4>
      </vt:variant>
      <vt:variant>
        <vt:i4>0</vt:i4>
      </vt:variant>
      <vt:variant>
        <vt:i4>5</vt:i4>
      </vt:variant>
      <vt:variant>
        <vt:lpwstr/>
      </vt:variant>
      <vt:variant>
        <vt:lpwstr>_Toc453326737</vt:lpwstr>
      </vt:variant>
      <vt:variant>
        <vt:i4>1310770</vt:i4>
      </vt:variant>
      <vt:variant>
        <vt:i4>494</vt:i4>
      </vt:variant>
      <vt:variant>
        <vt:i4>0</vt:i4>
      </vt:variant>
      <vt:variant>
        <vt:i4>5</vt:i4>
      </vt:variant>
      <vt:variant>
        <vt:lpwstr/>
      </vt:variant>
      <vt:variant>
        <vt:lpwstr>_Toc453326736</vt:lpwstr>
      </vt:variant>
      <vt:variant>
        <vt:i4>1310770</vt:i4>
      </vt:variant>
      <vt:variant>
        <vt:i4>488</vt:i4>
      </vt:variant>
      <vt:variant>
        <vt:i4>0</vt:i4>
      </vt:variant>
      <vt:variant>
        <vt:i4>5</vt:i4>
      </vt:variant>
      <vt:variant>
        <vt:lpwstr/>
      </vt:variant>
      <vt:variant>
        <vt:lpwstr>_Toc453326735</vt:lpwstr>
      </vt:variant>
      <vt:variant>
        <vt:i4>1310770</vt:i4>
      </vt:variant>
      <vt:variant>
        <vt:i4>482</vt:i4>
      </vt:variant>
      <vt:variant>
        <vt:i4>0</vt:i4>
      </vt:variant>
      <vt:variant>
        <vt:i4>5</vt:i4>
      </vt:variant>
      <vt:variant>
        <vt:lpwstr/>
      </vt:variant>
      <vt:variant>
        <vt:lpwstr>_Toc453326734</vt:lpwstr>
      </vt:variant>
      <vt:variant>
        <vt:i4>1310770</vt:i4>
      </vt:variant>
      <vt:variant>
        <vt:i4>476</vt:i4>
      </vt:variant>
      <vt:variant>
        <vt:i4>0</vt:i4>
      </vt:variant>
      <vt:variant>
        <vt:i4>5</vt:i4>
      </vt:variant>
      <vt:variant>
        <vt:lpwstr/>
      </vt:variant>
      <vt:variant>
        <vt:lpwstr>_Toc453326733</vt:lpwstr>
      </vt:variant>
      <vt:variant>
        <vt:i4>1310770</vt:i4>
      </vt:variant>
      <vt:variant>
        <vt:i4>470</vt:i4>
      </vt:variant>
      <vt:variant>
        <vt:i4>0</vt:i4>
      </vt:variant>
      <vt:variant>
        <vt:i4>5</vt:i4>
      </vt:variant>
      <vt:variant>
        <vt:lpwstr/>
      </vt:variant>
      <vt:variant>
        <vt:lpwstr>_Toc453326732</vt:lpwstr>
      </vt:variant>
      <vt:variant>
        <vt:i4>1310770</vt:i4>
      </vt:variant>
      <vt:variant>
        <vt:i4>464</vt:i4>
      </vt:variant>
      <vt:variant>
        <vt:i4>0</vt:i4>
      </vt:variant>
      <vt:variant>
        <vt:i4>5</vt:i4>
      </vt:variant>
      <vt:variant>
        <vt:lpwstr/>
      </vt:variant>
      <vt:variant>
        <vt:lpwstr>_Toc453326731</vt:lpwstr>
      </vt:variant>
      <vt:variant>
        <vt:i4>1310770</vt:i4>
      </vt:variant>
      <vt:variant>
        <vt:i4>458</vt:i4>
      </vt:variant>
      <vt:variant>
        <vt:i4>0</vt:i4>
      </vt:variant>
      <vt:variant>
        <vt:i4>5</vt:i4>
      </vt:variant>
      <vt:variant>
        <vt:lpwstr/>
      </vt:variant>
      <vt:variant>
        <vt:lpwstr>_Toc453326730</vt:lpwstr>
      </vt:variant>
      <vt:variant>
        <vt:i4>1376306</vt:i4>
      </vt:variant>
      <vt:variant>
        <vt:i4>452</vt:i4>
      </vt:variant>
      <vt:variant>
        <vt:i4>0</vt:i4>
      </vt:variant>
      <vt:variant>
        <vt:i4>5</vt:i4>
      </vt:variant>
      <vt:variant>
        <vt:lpwstr/>
      </vt:variant>
      <vt:variant>
        <vt:lpwstr>_Toc453326729</vt:lpwstr>
      </vt:variant>
      <vt:variant>
        <vt:i4>1376306</vt:i4>
      </vt:variant>
      <vt:variant>
        <vt:i4>446</vt:i4>
      </vt:variant>
      <vt:variant>
        <vt:i4>0</vt:i4>
      </vt:variant>
      <vt:variant>
        <vt:i4>5</vt:i4>
      </vt:variant>
      <vt:variant>
        <vt:lpwstr/>
      </vt:variant>
      <vt:variant>
        <vt:lpwstr>_Toc453326728</vt:lpwstr>
      </vt:variant>
      <vt:variant>
        <vt:i4>1376306</vt:i4>
      </vt:variant>
      <vt:variant>
        <vt:i4>440</vt:i4>
      </vt:variant>
      <vt:variant>
        <vt:i4>0</vt:i4>
      </vt:variant>
      <vt:variant>
        <vt:i4>5</vt:i4>
      </vt:variant>
      <vt:variant>
        <vt:lpwstr/>
      </vt:variant>
      <vt:variant>
        <vt:lpwstr>_Toc453326727</vt:lpwstr>
      </vt:variant>
      <vt:variant>
        <vt:i4>1376306</vt:i4>
      </vt:variant>
      <vt:variant>
        <vt:i4>434</vt:i4>
      </vt:variant>
      <vt:variant>
        <vt:i4>0</vt:i4>
      </vt:variant>
      <vt:variant>
        <vt:i4>5</vt:i4>
      </vt:variant>
      <vt:variant>
        <vt:lpwstr/>
      </vt:variant>
      <vt:variant>
        <vt:lpwstr>_Toc453326726</vt:lpwstr>
      </vt:variant>
      <vt:variant>
        <vt:i4>1376306</vt:i4>
      </vt:variant>
      <vt:variant>
        <vt:i4>428</vt:i4>
      </vt:variant>
      <vt:variant>
        <vt:i4>0</vt:i4>
      </vt:variant>
      <vt:variant>
        <vt:i4>5</vt:i4>
      </vt:variant>
      <vt:variant>
        <vt:lpwstr/>
      </vt:variant>
      <vt:variant>
        <vt:lpwstr>_Toc453326725</vt:lpwstr>
      </vt:variant>
      <vt:variant>
        <vt:i4>1376306</vt:i4>
      </vt:variant>
      <vt:variant>
        <vt:i4>422</vt:i4>
      </vt:variant>
      <vt:variant>
        <vt:i4>0</vt:i4>
      </vt:variant>
      <vt:variant>
        <vt:i4>5</vt:i4>
      </vt:variant>
      <vt:variant>
        <vt:lpwstr/>
      </vt:variant>
      <vt:variant>
        <vt:lpwstr>_Toc453326724</vt:lpwstr>
      </vt:variant>
      <vt:variant>
        <vt:i4>1376306</vt:i4>
      </vt:variant>
      <vt:variant>
        <vt:i4>416</vt:i4>
      </vt:variant>
      <vt:variant>
        <vt:i4>0</vt:i4>
      </vt:variant>
      <vt:variant>
        <vt:i4>5</vt:i4>
      </vt:variant>
      <vt:variant>
        <vt:lpwstr/>
      </vt:variant>
      <vt:variant>
        <vt:lpwstr>_Toc453326723</vt:lpwstr>
      </vt:variant>
      <vt:variant>
        <vt:i4>1376306</vt:i4>
      </vt:variant>
      <vt:variant>
        <vt:i4>410</vt:i4>
      </vt:variant>
      <vt:variant>
        <vt:i4>0</vt:i4>
      </vt:variant>
      <vt:variant>
        <vt:i4>5</vt:i4>
      </vt:variant>
      <vt:variant>
        <vt:lpwstr/>
      </vt:variant>
      <vt:variant>
        <vt:lpwstr>_Toc453326722</vt:lpwstr>
      </vt:variant>
      <vt:variant>
        <vt:i4>1376306</vt:i4>
      </vt:variant>
      <vt:variant>
        <vt:i4>404</vt:i4>
      </vt:variant>
      <vt:variant>
        <vt:i4>0</vt:i4>
      </vt:variant>
      <vt:variant>
        <vt:i4>5</vt:i4>
      </vt:variant>
      <vt:variant>
        <vt:lpwstr/>
      </vt:variant>
      <vt:variant>
        <vt:lpwstr>_Toc453326721</vt:lpwstr>
      </vt:variant>
      <vt:variant>
        <vt:i4>1376306</vt:i4>
      </vt:variant>
      <vt:variant>
        <vt:i4>398</vt:i4>
      </vt:variant>
      <vt:variant>
        <vt:i4>0</vt:i4>
      </vt:variant>
      <vt:variant>
        <vt:i4>5</vt:i4>
      </vt:variant>
      <vt:variant>
        <vt:lpwstr/>
      </vt:variant>
      <vt:variant>
        <vt:lpwstr>_Toc453326720</vt:lpwstr>
      </vt:variant>
      <vt:variant>
        <vt:i4>1441842</vt:i4>
      </vt:variant>
      <vt:variant>
        <vt:i4>392</vt:i4>
      </vt:variant>
      <vt:variant>
        <vt:i4>0</vt:i4>
      </vt:variant>
      <vt:variant>
        <vt:i4>5</vt:i4>
      </vt:variant>
      <vt:variant>
        <vt:lpwstr/>
      </vt:variant>
      <vt:variant>
        <vt:lpwstr>_Toc453326719</vt:lpwstr>
      </vt:variant>
      <vt:variant>
        <vt:i4>1441842</vt:i4>
      </vt:variant>
      <vt:variant>
        <vt:i4>386</vt:i4>
      </vt:variant>
      <vt:variant>
        <vt:i4>0</vt:i4>
      </vt:variant>
      <vt:variant>
        <vt:i4>5</vt:i4>
      </vt:variant>
      <vt:variant>
        <vt:lpwstr/>
      </vt:variant>
      <vt:variant>
        <vt:lpwstr>_Toc453326718</vt:lpwstr>
      </vt:variant>
      <vt:variant>
        <vt:i4>1441842</vt:i4>
      </vt:variant>
      <vt:variant>
        <vt:i4>380</vt:i4>
      </vt:variant>
      <vt:variant>
        <vt:i4>0</vt:i4>
      </vt:variant>
      <vt:variant>
        <vt:i4>5</vt:i4>
      </vt:variant>
      <vt:variant>
        <vt:lpwstr/>
      </vt:variant>
      <vt:variant>
        <vt:lpwstr>_Toc453326717</vt:lpwstr>
      </vt:variant>
      <vt:variant>
        <vt:i4>1441842</vt:i4>
      </vt:variant>
      <vt:variant>
        <vt:i4>374</vt:i4>
      </vt:variant>
      <vt:variant>
        <vt:i4>0</vt:i4>
      </vt:variant>
      <vt:variant>
        <vt:i4>5</vt:i4>
      </vt:variant>
      <vt:variant>
        <vt:lpwstr/>
      </vt:variant>
      <vt:variant>
        <vt:lpwstr>_Toc453326716</vt:lpwstr>
      </vt:variant>
      <vt:variant>
        <vt:i4>1441842</vt:i4>
      </vt:variant>
      <vt:variant>
        <vt:i4>368</vt:i4>
      </vt:variant>
      <vt:variant>
        <vt:i4>0</vt:i4>
      </vt:variant>
      <vt:variant>
        <vt:i4>5</vt:i4>
      </vt:variant>
      <vt:variant>
        <vt:lpwstr/>
      </vt:variant>
      <vt:variant>
        <vt:lpwstr>_Toc453326715</vt:lpwstr>
      </vt:variant>
      <vt:variant>
        <vt:i4>1441842</vt:i4>
      </vt:variant>
      <vt:variant>
        <vt:i4>362</vt:i4>
      </vt:variant>
      <vt:variant>
        <vt:i4>0</vt:i4>
      </vt:variant>
      <vt:variant>
        <vt:i4>5</vt:i4>
      </vt:variant>
      <vt:variant>
        <vt:lpwstr/>
      </vt:variant>
      <vt:variant>
        <vt:lpwstr>_Toc453326714</vt:lpwstr>
      </vt:variant>
      <vt:variant>
        <vt:i4>1441842</vt:i4>
      </vt:variant>
      <vt:variant>
        <vt:i4>356</vt:i4>
      </vt:variant>
      <vt:variant>
        <vt:i4>0</vt:i4>
      </vt:variant>
      <vt:variant>
        <vt:i4>5</vt:i4>
      </vt:variant>
      <vt:variant>
        <vt:lpwstr/>
      </vt:variant>
      <vt:variant>
        <vt:lpwstr>_Toc453326713</vt:lpwstr>
      </vt:variant>
      <vt:variant>
        <vt:i4>1441842</vt:i4>
      </vt:variant>
      <vt:variant>
        <vt:i4>350</vt:i4>
      </vt:variant>
      <vt:variant>
        <vt:i4>0</vt:i4>
      </vt:variant>
      <vt:variant>
        <vt:i4>5</vt:i4>
      </vt:variant>
      <vt:variant>
        <vt:lpwstr/>
      </vt:variant>
      <vt:variant>
        <vt:lpwstr>_Toc453326712</vt:lpwstr>
      </vt:variant>
      <vt:variant>
        <vt:i4>1441842</vt:i4>
      </vt:variant>
      <vt:variant>
        <vt:i4>344</vt:i4>
      </vt:variant>
      <vt:variant>
        <vt:i4>0</vt:i4>
      </vt:variant>
      <vt:variant>
        <vt:i4>5</vt:i4>
      </vt:variant>
      <vt:variant>
        <vt:lpwstr/>
      </vt:variant>
      <vt:variant>
        <vt:lpwstr>_Toc453326711</vt:lpwstr>
      </vt:variant>
      <vt:variant>
        <vt:i4>1441842</vt:i4>
      </vt:variant>
      <vt:variant>
        <vt:i4>338</vt:i4>
      </vt:variant>
      <vt:variant>
        <vt:i4>0</vt:i4>
      </vt:variant>
      <vt:variant>
        <vt:i4>5</vt:i4>
      </vt:variant>
      <vt:variant>
        <vt:lpwstr/>
      </vt:variant>
      <vt:variant>
        <vt:lpwstr>_Toc453326710</vt:lpwstr>
      </vt:variant>
      <vt:variant>
        <vt:i4>1507378</vt:i4>
      </vt:variant>
      <vt:variant>
        <vt:i4>332</vt:i4>
      </vt:variant>
      <vt:variant>
        <vt:i4>0</vt:i4>
      </vt:variant>
      <vt:variant>
        <vt:i4>5</vt:i4>
      </vt:variant>
      <vt:variant>
        <vt:lpwstr/>
      </vt:variant>
      <vt:variant>
        <vt:lpwstr>_Toc453326709</vt:lpwstr>
      </vt:variant>
      <vt:variant>
        <vt:i4>1507378</vt:i4>
      </vt:variant>
      <vt:variant>
        <vt:i4>326</vt:i4>
      </vt:variant>
      <vt:variant>
        <vt:i4>0</vt:i4>
      </vt:variant>
      <vt:variant>
        <vt:i4>5</vt:i4>
      </vt:variant>
      <vt:variant>
        <vt:lpwstr/>
      </vt:variant>
      <vt:variant>
        <vt:lpwstr>_Toc453326708</vt:lpwstr>
      </vt:variant>
      <vt:variant>
        <vt:i4>1507378</vt:i4>
      </vt:variant>
      <vt:variant>
        <vt:i4>320</vt:i4>
      </vt:variant>
      <vt:variant>
        <vt:i4>0</vt:i4>
      </vt:variant>
      <vt:variant>
        <vt:i4>5</vt:i4>
      </vt:variant>
      <vt:variant>
        <vt:lpwstr/>
      </vt:variant>
      <vt:variant>
        <vt:lpwstr>_Toc453326707</vt:lpwstr>
      </vt:variant>
      <vt:variant>
        <vt:i4>1507378</vt:i4>
      </vt:variant>
      <vt:variant>
        <vt:i4>314</vt:i4>
      </vt:variant>
      <vt:variant>
        <vt:i4>0</vt:i4>
      </vt:variant>
      <vt:variant>
        <vt:i4>5</vt:i4>
      </vt:variant>
      <vt:variant>
        <vt:lpwstr/>
      </vt:variant>
      <vt:variant>
        <vt:lpwstr>_Toc453326706</vt:lpwstr>
      </vt:variant>
      <vt:variant>
        <vt:i4>1507378</vt:i4>
      </vt:variant>
      <vt:variant>
        <vt:i4>308</vt:i4>
      </vt:variant>
      <vt:variant>
        <vt:i4>0</vt:i4>
      </vt:variant>
      <vt:variant>
        <vt:i4>5</vt:i4>
      </vt:variant>
      <vt:variant>
        <vt:lpwstr/>
      </vt:variant>
      <vt:variant>
        <vt:lpwstr>_Toc453326705</vt:lpwstr>
      </vt:variant>
      <vt:variant>
        <vt:i4>1507378</vt:i4>
      </vt:variant>
      <vt:variant>
        <vt:i4>302</vt:i4>
      </vt:variant>
      <vt:variant>
        <vt:i4>0</vt:i4>
      </vt:variant>
      <vt:variant>
        <vt:i4>5</vt:i4>
      </vt:variant>
      <vt:variant>
        <vt:lpwstr/>
      </vt:variant>
      <vt:variant>
        <vt:lpwstr>_Toc453326704</vt:lpwstr>
      </vt:variant>
      <vt:variant>
        <vt:i4>1507378</vt:i4>
      </vt:variant>
      <vt:variant>
        <vt:i4>296</vt:i4>
      </vt:variant>
      <vt:variant>
        <vt:i4>0</vt:i4>
      </vt:variant>
      <vt:variant>
        <vt:i4>5</vt:i4>
      </vt:variant>
      <vt:variant>
        <vt:lpwstr/>
      </vt:variant>
      <vt:variant>
        <vt:lpwstr>_Toc453326703</vt:lpwstr>
      </vt:variant>
      <vt:variant>
        <vt:i4>1507378</vt:i4>
      </vt:variant>
      <vt:variant>
        <vt:i4>290</vt:i4>
      </vt:variant>
      <vt:variant>
        <vt:i4>0</vt:i4>
      </vt:variant>
      <vt:variant>
        <vt:i4>5</vt:i4>
      </vt:variant>
      <vt:variant>
        <vt:lpwstr/>
      </vt:variant>
      <vt:variant>
        <vt:lpwstr>_Toc453326702</vt:lpwstr>
      </vt:variant>
      <vt:variant>
        <vt:i4>1507378</vt:i4>
      </vt:variant>
      <vt:variant>
        <vt:i4>284</vt:i4>
      </vt:variant>
      <vt:variant>
        <vt:i4>0</vt:i4>
      </vt:variant>
      <vt:variant>
        <vt:i4>5</vt:i4>
      </vt:variant>
      <vt:variant>
        <vt:lpwstr/>
      </vt:variant>
      <vt:variant>
        <vt:lpwstr>_Toc453326701</vt:lpwstr>
      </vt:variant>
      <vt:variant>
        <vt:i4>1507378</vt:i4>
      </vt:variant>
      <vt:variant>
        <vt:i4>278</vt:i4>
      </vt:variant>
      <vt:variant>
        <vt:i4>0</vt:i4>
      </vt:variant>
      <vt:variant>
        <vt:i4>5</vt:i4>
      </vt:variant>
      <vt:variant>
        <vt:lpwstr/>
      </vt:variant>
      <vt:variant>
        <vt:lpwstr>_Toc453326700</vt:lpwstr>
      </vt:variant>
      <vt:variant>
        <vt:i4>1966131</vt:i4>
      </vt:variant>
      <vt:variant>
        <vt:i4>272</vt:i4>
      </vt:variant>
      <vt:variant>
        <vt:i4>0</vt:i4>
      </vt:variant>
      <vt:variant>
        <vt:i4>5</vt:i4>
      </vt:variant>
      <vt:variant>
        <vt:lpwstr/>
      </vt:variant>
      <vt:variant>
        <vt:lpwstr>_Toc453326699</vt:lpwstr>
      </vt:variant>
      <vt:variant>
        <vt:i4>1966131</vt:i4>
      </vt:variant>
      <vt:variant>
        <vt:i4>266</vt:i4>
      </vt:variant>
      <vt:variant>
        <vt:i4>0</vt:i4>
      </vt:variant>
      <vt:variant>
        <vt:i4>5</vt:i4>
      </vt:variant>
      <vt:variant>
        <vt:lpwstr/>
      </vt:variant>
      <vt:variant>
        <vt:lpwstr>_Toc453326698</vt:lpwstr>
      </vt:variant>
      <vt:variant>
        <vt:i4>1966131</vt:i4>
      </vt:variant>
      <vt:variant>
        <vt:i4>260</vt:i4>
      </vt:variant>
      <vt:variant>
        <vt:i4>0</vt:i4>
      </vt:variant>
      <vt:variant>
        <vt:i4>5</vt:i4>
      </vt:variant>
      <vt:variant>
        <vt:lpwstr/>
      </vt:variant>
      <vt:variant>
        <vt:lpwstr>_Toc453326697</vt:lpwstr>
      </vt:variant>
      <vt:variant>
        <vt:i4>1966131</vt:i4>
      </vt:variant>
      <vt:variant>
        <vt:i4>254</vt:i4>
      </vt:variant>
      <vt:variant>
        <vt:i4>0</vt:i4>
      </vt:variant>
      <vt:variant>
        <vt:i4>5</vt:i4>
      </vt:variant>
      <vt:variant>
        <vt:lpwstr/>
      </vt:variant>
      <vt:variant>
        <vt:lpwstr>_Toc453326696</vt:lpwstr>
      </vt:variant>
      <vt:variant>
        <vt:i4>1966131</vt:i4>
      </vt:variant>
      <vt:variant>
        <vt:i4>248</vt:i4>
      </vt:variant>
      <vt:variant>
        <vt:i4>0</vt:i4>
      </vt:variant>
      <vt:variant>
        <vt:i4>5</vt:i4>
      </vt:variant>
      <vt:variant>
        <vt:lpwstr/>
      </vt:variant>
      <vt:variant>
        <vt:lpwstr>_Toc453326695</vt:lpwstr>
      </vt:variant>
      <vt:variant>
        <vt:i4>1966131</vt:i4>
      </vt:variant>
      <vt:variant>
        <vt:i4>242</vt:i4>
      </vt:variant>
      <vt:variant>
        <vt:i4>0</vt:i4>
      </vt:variant>
      <vt:variant>
        <vt:i4>5</vt:i4>
      </vt:variant>
      <vt:variant>
        <vt:lpwstr/>
      </vt:variant>
      <vt:variant>
        <vt:lpwstr>_Toc453326694</vt:lpwstr>
      </vt:variant>
      <vt:variant>
        <vt:i4>1966131</vt:i4>
      </vt:variant>
      <vt:variant>
        <vt:i4>236</vt:i4>
      </vt:variant>
      <vt:variant>
        <vt:i4>0</vt:i4>
      </vt:variant>
      <vt:variant>
        <vt:i4>5</vt:i4>
      </vt:variant>
      <vt:variant>
        <vt:lpwstr/>
      </vt:variant>
      <vt:variant>
        <vt:lpwstr>_Toc453326693</vt:lpwstr>
      </vt:variant>
      <vt:variant>
        <vt:i4>1966131</vt:i4>
      </vt:variant>
      <vt:variant>
        <vt:i4>230</vt:i4>
      </vt:variant>
      <vt:variant>
        <vt:i4>0</vt:i4>
      </vt:variant>
      <vt:variant>
        <vt:i4>5</vt:i4>
      </vt:variant>
      <vt:variant>
        <vt:lpwstr/>
      </vt:variant>
      <vt:variant>
        <vt:lpwstr>_Toc453326692</vt:lpwstr>
      </vt:variant>
      <vt:variant>
        <vt:i4>1966131</vt:i4>
      </vt:variant>
      <vt:variant>
        <vt:i4>224</vt:i4>
      </vt:variant>
      <vt:variant>
        <vt:i4>0</vt:i4>
      </vt:variant>
      <vt:variant>
        <vt:i4>5</vt:i4>
      </vt:variant>
      <vt:variant>
        <vt:lpwstr/>
      </vt:variant>
      <vt:variant>
        <vt:lpwstr>_Toc453326691</vt:lpwstr>
      </vt:variant>
      <vt:variant>
        <vt:i4>1966131</vt:i4>
      </vt:variant>
      <vt:variant>
        <vt:i4>218</vt:i4>
      </vt:variant>
      <vt:variant>
        <vt:i4>0</vt:i4>
      </vt:variant>
      <vt:variant>
        <vt:i4>5</vt:i4>
      </vt:variant>
      <vt:variant>
        <vt:lpwstr/>
      </vt:variant>
      <vt:variant>
        <vt:lpwstr>_Toc453326690</vt:lpwstr>
      </vt:variant>
      <vt:variant>
        <vt:i4>2031667</vt:i4>
      </vt:variant>
      <vt:variant>
        <vt:i4>212</vt:i4>
      </vt:variant>
      <vt:variant>
        <vt:i4>0</vt:i4>
      </vt:variant>
      <vt:variant>
        <vt:i4>5</vt:i4>
      </vt:variant>
      <vt:variant>
        <vt:lpwstr/>
      </vt:variant>
      <vt:variant>
        <vt:lpwstr>_Toc453326689</vt:lpwstr>
      </vt:variant>
      <vt:variant>
        <vt:i4>2031667</vt:i4>
      </vt:variant>
      <vt:variant>
        <vt:i4>206</vt:i4>
      </vt:variant>
      <vt:variant>
        <vt:i4>0</vt:i4>
      </vt:variant>
      <vt:variant>
        <vt:i4>5</vt:i4>
      </vt:variant>
      <vt:variant>
        <vt:lpwstr/>
      </vt:variant>
      <vt:variant>
        <vt:lpwstr>_Toc453326688</vt:lpwstr>
      </vt:variant>
      <vt:variant>
        <vt:i4>2031667</vt:i4>
      </vt:variant>
      <vt:variant>
        <vt:i4>200</vt:i4>
      </vt:variant>
      <vt:variant>
        <vt:i4>0</vt:i4>
      </vt:variant>
      <vt:variant>
        <vt:i4>5</vt:i4>
      </vt:variant>
      <vt:variant>
        <vt:lpwstr/>
      </vt:variant>
      <vt:variant>
        <vt:lpwstr>_Toc453326687</vt:lpwstr>
      </vt:variant>
      <vt:variant>
        <vt:i4>2031667</vt:i4>
      </vt:variant>
      <vt:variant>
        <vt:i4>194</vt:i4>
      </vt:variant>
      <vt:variant>
        <vt:i4>0</vt:i4>
      </vt:variant>
      <vt:variant>
        <vt:i4>5</vt:i4>
      </vt:variant>
      <vt:variant>
        <vt:lpwstr/>
      </vt:variant>
      <vt:variant>
        <vt:lpwstr>_Toc453326686</vt:lpwstr>
      </vt:variant>
      <vt:variant>
        <vt:i4>2031667</vt:i4>
      </vt:variant>
      <vt:variant>
        <vt:i4>188</vt:i4>
      </vt:variant>
      <vt:variant>
        <vt:i4>0</vt:i4>
      </vt:variant>
      <vt:variant>
        <vt:i4>5</vt:i4>
      </vt:variant>
      <vt:variant>
        <vt:lpwstr/>
      </vt:variant>
      <vt:variant>
        <vt:lpwstr>_Toc453326685</vt:lpwstr>
      </vt:variant>
      <vt:variant>
        <vt:i4>2031667</vt:i4>
      </vt:variant>
      <vt:variant>
        <vt:i4>182</vt:i4>
      </vt:variant>
      <vt:variant>
        <vt:i4>0</vt:i4>
      </vt:variant>
      <vt:variant>
        <vt:i4>5</vt:i4>
      </vt:variant>
      <vt:variant>
        <vt:lpwstr/>
      </vt:variant>
      <vt:variant>
        <vt:lpwstr>_Toc453326684</vt:lpwstr>
      </vt:variant>
      <vt:variant>
        <vt:i4>2031667</vt:i4>
      </vt:variant>
      <vt:variant>
        <vt:i4>176</vt:i4>
      </vt:variant>
      <vt:variant>
        <vt:i4>0</vt:i4>
      </vt:variant>
      <vt:variant>
        <vt:i4>5</vt:i4>
      </vt:variant>
      <vt:variant>
        <vt:lpwstr/>
      </vt:variant>
      <vt:variant>
        <vt:lpwstr>_Toc453326683</vt:lpwstr>
      </vt:variant>
      <vt:variant>
        <vt:i4>2031667</vt:i4>
      </vt:variant>
      <vt:variant>
        <vt:i4>170</vt:i4>
      </vt:variant>
      <vt:variant>
        <vt:i4>0</vt:i4>
      </vt:variant>
      <vt:variant>
        <vt:i4>5</vt:i4>
      </vt:variant>
      <vt:variant>
        <vt:lpwstr/>
      </vt:variant>
      <vt:variant>
        <vt:lpwstr>_Toc453326682</vt:lpwstr>
      </vt:variant>
      <vt:variant>
        <vt:i4>2031667</vt:i4>
      </vt:variant>
      <vt:variant>
        <vt:i4>164</vt:i4>
      </vt:variant>
      <vt:variant>
        <vt:i4>0</vt:i4>
      </vt:variant>
      <vt:variant>
        <vt:i4>5</vt:i4>
      </vt:variant>
      <vt:variant>
        <vt:lpwstr/>
      </vt:variant>
      <vt:variant>
        <vt:lpwstr>_Toc453326681</vt:lpwstr>
      </vt:variant>
      <vt:variant>
        <vt:i4>2031667</vt:i4>
      </vt:variant>
      <vt:variant>
        <vt:i4>158</vt:i4>
      </vt:variant>
      <vt:variant>
        <vt:i4>0</vt:i4>
      </vt:variant>
      <vt:variant>
        <vt:i4>5</vt:i4>
      </vt:variant>
      <vt:variant>
        <vt:lpwstr/>
      </vt:variant>
      <vt:variant>
        <vt:lpwstr>_Toc453326680</vt:lpwstr>
      </vt:variant>
      <vt:variant>
        <vt:i4>1048627</vt:i4>
      </vt:variant>
      <vt:variant>
        <vt:i4>152</vt:i4>
      </vt:variant>
      <vt:variant>
        <vt:i4>0</vt:i4>
      </vt:variant>
      <vt:variant>
        <vt:i4>5</vt:i4>
      </vt:variant>
      <vt:variant>
        <vt:lpwstr/>
      </vt:variant>
      <vt:variant>
        <vt:lpwstr>_Toc453326679</vt:lpwstr>
      </vt:variant>
      <vt:variant>
        <vt:i4>1048627</vt:i4>
      </vt:variant>
      <vt:variant>
        <vt:i4>146</vt:i4>
      </vt:variant>
      <vt:variant>
        <vt:i4>0</vt:i4>
      </vt:variant>
      <vt:variant>
        <vt:i4>5</vt:i4>
      </vt:variant>
      <vt:variant>
        <vt:lpwstr/>
      </vt:variant>
      <vt:variant>
        <vt:lpwstr>_Toc453326678</vt:lpwstr>
      </vt:variant>
      <vt:variant>
        <vt:i4>1048627</vt:i4>
      </vt:variant>
      <vt:variant>
        <vt:i4>140</vt:i4>
      </vt:variant>
      <vt:variant>
        <vt:i4>0</vt:i4>
      </vt:variant>
      <vt:variant>
        <vt:i4>5</vt:i4>
      </vt:variant>
      <vt:variant>
        <vt:lpwstr/>
      </vt:variant>
      <vt:variant>
        <vt:lpwstr>_Toc453326677</vt:lpwstr>
      </vt:variant>
      <vt:variant>
        <vt:i4>1048627</vt:i4>
      </vt:variant>
      <vt:variant>
        <vt:i4>134</vt:i4>
      </vt:variant>
      <vt:variant>
        <vt:i4>0</vt:i4>
      </vt:variant>
      <vt:variant>
        <vt:i4>5</vt:i4>
      </vt:variant>
      <vt:variant>
        <vt:lpwstr/>
      </vt:variant>
      <vt:variant>
        <vt:lpwstr>_Toc453326676</vt:lpwstr>
      </vt:variant>
      <vt:variant>
        <vt:i4>1048627</vt:i4>
      </vt:variant>
      <vt:variant>
        <vt:i4>128</vt:i4>
      </vt:variant>
      <vt:variant>
        <vt:i4>0</vt:i4>
      </vt:variant>
      <vt:variant>
        <vt:i4>5</vt:i4>
      </vt:variant>
      <vt:variant>
        <vt:lpwstr/>
      </vt:variant>
      <vt:variant>
        <vt:lpwstr>_Toc453326675</vt:lpwstr>
      </vt:variant>
      <vt:variant>
        <vt:i4>1048627</vt:i4>
      </vt:variant>
      <vt:variant>
        <vt:i4>122</vt:i4>
      </vt:variant>
      <vt:variant>
        <vt:i4>0</vt:i4>
      </vt:variant>
      <vt:variant>
        <vt:i4>5</vt:i4>
      </vt:variant>
      <vt:variant>
        <vt:lpwstr/>
      </vt:variant>
      <vt:variant>
        <vt:lpwstr>_Toc453326674</vt:lpwstr>
      </vt:variant>
      <vt:variant>
        <vt:i4>1048627</vt:i4>
      </vt:variant>
      <vt:variant>
        <vt:i4>116</vt:i4>
      </vt:variant>
      <vt:variant>
        <vt:i4>0</vt:i4>
      </vt:variant>
      <vt:variant>
        <vt:i4>5</vt:i4>
      </vt:variant>
      <vt:variant>
        <vt:lpwstr/>
      </vt:variant>
      <vt:variant>
        <vt:lpwstr>_Toc453326673</vt:lpwstr>
      </vt:variant>
      <vt:variant>
        <vt:i4>1048627</vt:i4>
      </vt:variant>
      <vt:variant>
        <vt:i4>110</vt:i4>
      </vt:variant>
      <vt:variant>
        <vt:i4>0</vt:i4>
      </vt:variant>
      <vt:variant>
        <vt:i4>5</vt:i4>
      </vt:variant>
      <vt:variant>
        <vt:lpwstr/>
      </vt:variant>
      <vt:variant>
        <vt:lpwstr>_Toc453326672</vt:lpwstr>
      </vt:variant>
      <vt:variant>
        <vt:i4>1048627</vt:i4>
      </vt:variant>
      <vt:variant>
        <vt:i4>104</vt:i4>
      </vt:variant>
      <vt:variant>
        <vt:i4>0</vt:i4>
      </vt:variant>
      <vt:variant>
        <vt:i4>5</vt:i4>
      </vt:variant>
      <vt:variant>
        <vt:lpwstr/>
      </vt:variant>
      <vt:variant>
        <vt:lpwstr>_Toc453326671</vt:lpwstr>
      </vt:variant>
      <vt:variant>
        <vt:i4>1048627</vt:i4>
      </vt:variant>
      <vt:variant>
        <vt:i4>98</vt:i4>
      </vt:variant>
      <vt:variant>
        <vt:i4>0</vt:i4>
      </vt:variant>
      <vt:variant>
        <vt:i4>5</vt:i4>
      </vt:variant>
      <vt:variant>
        <vt:lpwstr/>
      </vt:variant>
      <vt:variant>
        <vt:lpwstr>_Toc453326670</vt:lpwstr>
      </vt:variant>
      <vt:variant>
        <vt:i4>1114163</vt:i4>
      </vt:variant>
      <vt:variant>
        <vt:i4>92</vt:i4>
      </vt:variant>
      <vt:variant>
        <vt:i4>0</vt:i4>
      </vt:variant>
      <vt:variant>
        <vt:i4>5</vt:i4>
      </vt:variant>
      <vt:variant>
        <vt:lpwstr/>
      </vt:variant>
      <vt:variant>
        <vt:lpwstr>_Toc453326669</vt:lpwstr>
      </vt:variant>
      <vt:variant>
        <vt:i4>1114163</vt:i4>
      </vt:variant>
      <vt:variant>
        <vt:i4>86</vt:i4>
      </vt:variant>
      <vt:variant>
        <vt:i4>0</vt:i4>
      </vt:variant>
      <vt:variant>
        <vt:i4>5</vt:i4>
      </vt:variant>
      <vt:variant>
        <vt:lpwstr/>
      </vt:variant>
      <vt:variant>
        <vt:lpwstr>_Toc453326668</vt:lpwstr>
      </vt:variant>
      <vt:variant>
        <vt:i4>1114163</vt:i4>
      </vt:variant>
      <vt:variant>
        <vt:i4>80</vt:i4>
      </vt:variant>
      <vt:variant>
        <vt:i4>0</vt:i4>
      </vt:variant>
      <vt:variant>
        <vt:i4>5</vt:i4>
      </vt:variant>
      <vt:variant>
        <vt:lpwstr/>
      </vt:variant>
      <vt:variant>
        <vt:lpwstr>_Toc453326667</vt:lpwstr>
      </vt:variant>
      <vt:variant>
        <vt:i4>1114163</vt:i4>
      </vt:variant>
      <vt:variant>
        <vt:i4>74</vt:i4>
      </vt:variant>
      <vt:variant>
        <vt:i4>0</vt:i4>
      </vt:variant>
      <vt:variant>
        <vt:i4>5</vt:i4>
      </vt:variant>
      <vt:variant>
        <vt:lpwstr/>
      </vt:variant>
      <vt:variant>
        <vt:lpwstr>_Toc453326666</vt:lpwstr>
      </vt:variant>
      <vt:variant>
        <vt:i4>1114163</vt:i4>
      </vt:variant>
      <vt:variant>
        <vt:i4>68</vt:i4>
      </vt:variant>
      <vt:variant>
        <vt:i4>0</vt:i4>
      </vt:variant>
      <vt:variant>
        <vt:i4>5</vt:i4>
      </vt:variant>
      <vt:variant>
        <vt:lpwstr/>
      </vt:variant>
      <vt:variant>
        <vt:lpwstr>_Toc453326665</vt:lpwstr>
      </vt:variant>
      <vt:variant>
        <vt:i4>1114163</vt:i4>
      </vt:variant>
      <vt:variant>
        <vt:i4>62</vt:i4>
      </vt:variant>
      <vt:variant>
        <vt:i4>0</vt:i4>
      </vt:variant>
      <vt:variant>
        <vt:i4>5</vt:i4>
      </vt:variant>
      <vt:variant>
        <vt:lpwstr/>
      </vt:variant>
      <vt:variant>
        <vt:lpwstr>_Toc453326664</vt:lpwstr>
      </vt:variant>
      <vt:variant>
        <vt:i4>1114163</vt:i4>
      </vt:variant>
      <vt:variant>
        <vt:i4>56</vt:i4>
      </vt:variant>
      <vt:variant>
        <vt:i4>0</vt:i4>
      </vt:variant>
      <vt:variant>
        <vt:i4>5</vt:i4>
      </vt:variant>
      <vt:variant>
        <vt:lpwstr/>
      </vt:variant>
      <vt:variant>
        <vt:lpwstr>_Toc453326663</vt:lpwstr>
      </vt:variant>
      <vt:variant>
        <vt:i4>1114163</vt:i4>
      </vt:variant>
      <vt:variant>
        <vt:i4>50</vt:i4>
      </vt:variant>
      <vt:variant>
        <vt:i4>0</vt:i4>
      </vt:variant>
      <vt:variant>
        <vt:i4>5</vt:i4>
      </vt:variant>
      <vt:variant>
        <vt:lpwstr/>
      </vt:variant>
      <vt:variant>
        <vt:lpwstr>_Toc453326662</vt:lpwstr>
      </vt:variant>
      <vt:variant>
        <vt:i4>1114163</vt:i4>
      </vt:variant>
      <vt:variant>
        <vt:i4>44</vt:i4>
      </vt:variant>
      <vt:variant>
        <vt:i4>0</vt:i4>
      </vt:variant>
      <vt:variant>
        <vt:i4>5</vt:i4>
      </vt:variant>
      <vt:variant>
        <vt:lpwstr/>
      </vt:variant>
      <vt:variant>
        <vt:lpwstr>_Toc453326661</vt:lpwstr>
      </vt:variant>
      <vt:variant>
        <vt:i4>1114163</vt:i4>
      </vt:variant>
      <vt:variant>
        <vt:i4>38</vt:i4>
      </vt:variant>
      <vt:variant>
        <vt:i4>0</vt:i4>
      </vt:variant>
      <vt:variant>
        <vt:i4>5</vt:i4>
      </vt:variant>
      <vt:variant>
        <vt:lpwstr/>
      </vt:variant>
      <vt:variant>
        <vt:lpwstr>_Toc453326660</vt:lpwstr>
      </vt:variant>
      <vt:variant>
        <vt:i4>1179699</vt:i4>
      </vt:variant>
      <vt:variant>
        <vt:i4>32</vt:i4>
      </vt:variant>
      <vt:variant>
        <vt:i4>0</vt:i4>
      </vt:variant>
      <vt:variant>
        <vt:i4>5</vt:i4>
      </vt:variant>
      <vt:variant>
        <vt:lpwstr/>
      </vt:variant>
      <vt:variant>
        <vt:lpwstr>_Toc453326659</vt:lpwstr>
      </vt:variant>
      <vt:variant>
        <vt:i4>1179699</vt:i4>
      </vt:variant>
      <vt:variant>
        <vt:i4>26</vt:i4>
      </vt:variant>
      <vt:variant>
        <vt:i4>0</vt:i4>
      </vt:variant>
      <vt:variant>
        <vt:i4>5</vt:i4>
      </vt:variant>
      <vt:variant>
        <vt:lpwstr/>
      </vt:variant>
      <vt:variant>
        <vt:lpwstr>_Toc453326658</vt:lpwstr>
      </vt:variant>
      <vt:variant>
        <vt:i4>1179699</vt:i4>
      </vt:variant>
      <vt:variant>
        <vt:i4>20</vt:i4>
      </vt:variant>
      <vt:variant>
        <vt:i4>0</vt:i4>
      </vt:variant>
      <vt:variant>
        <vt:i4>5</vt:i4>
      </vt:variant>
      <vt:variant>
        <vt:lpwstr/>
      </vt:variant>
      <vt:variant>
        <vt:lpwstr>_Toc453326657</vt:lpwstr>
      </vt:variant>
      <vt:variant>
        <vt:i4>1179699</vt:i4>
      </vt:variant>
      <vt:variant>
        <vt:i4>14</vt:i4>
      </vt:variant>
      <vt:variant>
        <vt:i4>0</vt:i4>
      </vt:variant>
      <vt:variant>
        <vt:i4>5</vt:i4>
      </vt:variant>
      <vt:variant>
        <vt:lpwstr/>
      </vt:variant>
      <vt:variant>
        <vt:lpwstr>_Toc453326656</vt:lpwstr>
      </vt:variant>
      <vt:variant>
        <vt:i4>1179699</vt:i4>
      </vt:variant>
      <vt:variant>
        <vt:i4>8</vt:i4>
      </vt:variant>
      <vt:variant>
        <vt:i4>0</vt:i4>
      </vt:variant>
      <vt:variant>
        <vt:i4>5</vt:i4>
      </vt:variant>
      <vt:variant>
        <vt:lpwstr/>
      </vt:variant>
      <vt:variant>
        <vt:lpwstr>_Toc453326655</vt:lpwstr>
      </vt:variant>
      <vt:variant>
        <vt:i4>1179699</vt:i4>
      </vt:variant>
      <vt:variant>
        <vt:i4>2</vt:i4>
      </vt:variant>
      <vt:variant>
        <vt:i4>0</vt:i4>
      </vt:variant>
      <vt:variant>
        <vt:i4>5</vt:i4>
      </vt:variant>
      <vt:variant>
        <vt:lpwstr/>
      </vt:variant>
      <vt:variant>
        <vt:lpwstr>_Toc453326654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 FOR AN ACTION WITH ONE BENEFICIARY</dc:title>
  <dc:subject>grant agreement</dc:subject>
  <dc:creator>ANGELOVA Yana (BUDG)</dc:creator>
  <cp:keywords>grant, agreement, subventions, multi, beneficiaries</cp:keywords>
  <dc:description/>
  <cp:lastModifiedBy>ZDRAHALOVA Lenka (EAC)</cp:lastModifiedBy>
  <cp:revision>2</cp:revision>
  <cp:lastPrinted>2019-04-12T06:32:00Z</cp:lastPrinted>
  <dcterms:created xsi:type="dcterms:W3CDTF">2021-09-09T14:36:00Z</dcterms:created>
  <dcterms:modified xsi:type="dcterms:W3CDTF">2021-09-09T14:36:00Z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0x010100258AA79CEB83498886A3A08681123250003B94253FC379F34EB27B3DFBA4A568C1</vt:lpwstr>
  </property>
  <property fmtid="{D5CDD505-2E9C-101B-9397-08002B2CF9AE}" pid="4" name="Order">
    <vt:r8>32600</vt:r8>
  </property>
</Properties>
</file>