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764F" w14:textId="4840A5D7" w:rsidR="00F92974" w:rsidRPr="008C5FD8" w:rsidRDefault="00BA0C05" w:rsidP="008C5FD8">
      <w:pPr>
        <w:pStyle w:val="NormalWeb"/>
        <w:rPr>
          <w:b/>
        </w:rPr>
      </w:pPr>
      <w:bookmarkStart w:id="0" w:name="_GoBack"/>
      <w:bookmarkEnd w:id="0"/>
      <w:r>
        <w:rPr>
          <w:b/>
          <w:highlight w:val="lightGray"/>
        </w:rPr>
        <w:t>[Annexe I: addendum à la convention de subvention</w:t>
      </w:r>
      <w:r>
        <w:rPr>
          <w:b/>
        </w:rPr>
        <w:t>]</w:t>
      </w:r>
    </w:p>
    <w:p w14:paraId="29C449E3" w14:textId="77777777" w:rsidR="00F92974" w:rsidRDefault="00F92974" w:rsidP="00E25758">
      <w:pPr>
        <w:pStyle w:val="NormalWeb"/>
        <w:jc w:val="center"/>
      </w:pPr>
    </w:p>
    <w:p w14:paraId="5AD558CD" w14:textId="0B39216F" w:rsidR="00E25758" w:rsidRDefault="00E25758" w:rsidP="00E25758">
      <w:pPr>
        <w:pStyle w:val="NormalWeb"/>
        <w:jc w:val="center"/>
      </w:pPr>
      <w:r>
        <w:t>ADDENDUM N° [...] À LA CONVENTION DE SUBVENTION N° [...]</w:t>
      </w:r>
    </w:p>
    <w:p w14:paraId="45BC9327" w14:textId="77777777" w:rsidR="00E25758" w:rsidRDefault="00E25758" w:rsidP="00E25758">
      <w:pPr>
        <w:pStyle w:val="NormalWeb"/>
        <w:jc w:val="center"/>
      </w:pPr>
      <w:r>
        <w:t>SIGNÉE ENTRE [...]</w:t>
      </w:r>
    </w:p>
    <w:p w14:paraId="6E662179" w14:textId="77777777" w:rsidR="00E25758" w:rsidRPr="008D04AA" w:rsidRDefault="00E25758" w:rsidP="005A685A">
      <w:pPr>
        <w:jc w:val="center"/>
        <w:rPr>
          <w:rFonts w:ascii="Times New Roman" w:hAnsi="Times New Roman" w:cs="Times New Roman"/>
          <w:b/>
          <w:sz w:val="24"/>
          <w:szCs w:val="24"/>
          <w:lang w:val="fr-BE"/>
        </w:rPr>
      </w:pPr>
    </w:p>
    <w:p w14:paraId="5F1F04C8" w14:textId="688935FA" w:rsidR="006B6E6F" w:rsidRPr="00F1436C" w:rsidRDefault="00F90AD1">
      <w:pPr>
        <w:jc w:val="center"/>
        <w:rPr>
          <w:rFonts w:ascii="Times New Roman" w:hAnsi="Times New Roman" w:cs="Times New Roman"/>
          <w:b/>
          <w:bCs/>
          <w:sz w:val="24"/>
          <w:szCs w:val="24"/>
        </w:rPr>
      </w:pPr>
      <w:r>
        <w:rPr>
          <w:rFonts w:ascii="Times New Roman" w:hAnsi="Times New Roman"/>
          <w:b/>
          <w:bCs/>
          <w:sz w:val="24"/>
          <w:szCs w:val="24"/>
        </w:rPr>
        <w:t>RÈGLES FINANCIÈRES ET CONTRACTUELLES SUPPLÉMENTAIRES APPLICABLES AUX PROJETS ORGANISANT DES ACTIVITÉS VIRTUELLES EN RAISON DE LA COVID-19</w:t>
      </w:r>
    </w:p>
    <w:p w14:paraId="4407672A" w14:textId="77777777" w:rsidR="005A685A" w:rsidRPr="008D04AA" w:rsidRDefault="005A685A" w:rsidP="005A685A">
      <w:pPr>
        <w:jc w:val="center"/>
        <w:rPr>
          <w:rFonts w:ascii="Times New Roman" w:hAnsi="Times New Roman" w:cs="Times New Roman"/>
          <w:sz w:val="24"/>
          <w:szCs w:val="24"/>
          <w:lang w:val="fr-BE"/>
        </w:rPr>
      </w:pPr>
    </w:p>
    <w:p w14:paraId="57EBCB2D" w14:textId="757E7201" w:rsidR="00923ECE" w:rsidRDefault="00923ECE" w:rsidP="00347AC4">
      <w:pPr>
        <w:jc w:val="both"/>
        <w:rPr>
          <w:rFonts w:ascii="Times New Roman" w:hAnsi="Times New Roman" w:cs="Times New Roman"/>
          <w:sz w:val="24"/>
          <w:szCs w:val="24"/>
          <w:u w:val="single"/>
        </w:rPr>
      </w:pPr>
      <w:r>
        <w:rPr>
          <w:rFonts w:ascii="Times New Roman" w:hAnsi="Times New Roman"/>
          <w:sz w:val="24"/>
          <w:szCs w:val="24"/>
          <w:u w:val="single"/>
        </w:rPr>
        <w:t>Partie I de II</w:t>
      </w:r>
    </w:p>
    <w:p w14:paraId="0EE89A03" w14:textId="77777777" w:rsidR="00923ECE" w:rsidRPr="008D04AA" w:rsidRDefault="00923ECE" w:rsidP="00347AC4">
      <w:pPr>
        <w:jc w:val="both"/>
        <w:rPr>
          <w:rFonts w:ascii="Times New Roman" w:hAnsi="Times New Roman" w:cs="Times New Roman"/>
          <w:sz w:val="24"/>
          <w:szCs w:val="24"/>
          <w:u w:val="single"/>
          <w:lang w:val="fr-BE"/>
        </w:rPr>
      </w:pPr>
    </w:p>
    <w:p w14:paraId="1EE4E587" w14:textId="46BBA477" w:rsidR="008F0491" w:rsidRDefault="008F0491" w:rsidP="00347AC4">
      <w:pPr>
        <w:jc w:val="both"/>
        <w:rPr>
          <w:rFonts w:ascii="Times New Roman" w:hAnsi="Times New Roman" w:cs="Times New Roman"/>
          <w:sz w:val="24"/>
          <w:szCs w:val="24"/>
        </w:rPr>
      </w:pPr>
      <w:r>
        <w:rPr>
          <w:rFonts w:ascii="Times New Roman" w:hAnsi="Times New Roman"/>
          <w:sz w:val="24"/>
          <w:szCs w:val="24"/>
        </w:rPr>
        <w:t xml:space="preserve">Les règles suivantes </w:t>
      </w:r>
      <w:r>
        <w:rPr>
          <w:rFonts w:ascii="Times New Roman" w:hAnsi="Times New Roman"/>
          <w:b/>
          <w:sz w:val="24"/>
          <w:szCs w:val="24"/>
          <w:u w:val="single"/>
        </w:rPr>
        <w:t>modifient</w:t>
      </w:r>
      <w:r>
        <w:rPr>
          <w:rFonts w:ascii="Times New Roman" w:hAnsi="Times New Roman"/>
          <w:sz w:val="24"/>
          <w:szCs w:val="24"/>
        </w:rPr>
        <w:t xml:space="preserve"> celles des articles I.2 et II.2 de l’annexe III et ne s’appliquent qu’aux cas dans lesquels des activités virtuelles doivent être organisées en raison de la COVID</w:t>
      </w:r>
      <w:r w:rsidR="008D04AA">
        <w:rPr>
          <w:rFonts w:ascii="Times New Roman" w:hAnsi="Times New Roman"/>
          <w:sz w:val="24"/>
          <w:szCs w:val="24"/>
        </w:rPr>
        <w:noBreakHyphen/>
      </w:r>
      <w:r>
        <w:rPr>
          <w:rFonts w:ascii="Times New Roman" w:hAnsi="Times New Roman"/>
          <w:sz w:val="24"/>
          <w:szCs w:val="24"/>
        </w:rPr>
        <w:t>19. Les activités virtuelles sont soumises à l’obligation de rapport conformément aux règles prévues dans la convention de subvention.</w:t>
      </w:r>
    </w:p>
    <w:p w14:paraId="50A90038" w14:textId="214DF5EA" w:rsidR="00EA1A7D" w:rsidRPr="00EA1A7D" w:rsidRDefault="00EA1A7D" w:rsidP="00347AC4">
      <w:pPr>
        <w:jc w:val="both"/>
        <w:rPr>
          <w:rFonts w:ascii="Times New Roman" w:hAnsi="Times New Roman" w:cs="Times New Roman"/>
          <w:sz w:val="24"/>
          <w:szCs w:val="24"/>
        </w:rPr>
      </w:pPr>
    </w:p>
    <w:p w14:paraId="48F2CECE" w14:textId="77777777" w:rsidR="00810081" w:rsidRPr="008D04AA" w:rsidRDefault="00810081" w:rsidP="008A3403">
      <w:pPr>
        <w:rPr>
          <w:rFonts w:ascii="Times New Roman" w:hAnsi="Times New Roman" w:cs="Times New Roman"/>
          <w:b/>
          <w:bCs/>
          <w:sz w:val="24"/>
          <w:szCs w:val="24"/>
          <w:lang w:val="fr-BE"/>
        </w:rPr>
      </w:pPr>
    </w:p>
    <w:p w14:paraId="360BBD30" w14:textId="1AB4E515" w:rsidR="008A3403" w:rsidRPr="00F1436C" w:rsidRDefault="008A3403" w:rsidP="008A3403">
      <w:pPr>
        <w:rPr>
          <w:rFonts w:ascii="Times New Roman" w:hAnsi="Times New Roman" w:cs="Times New Roman"/>
          <w:b/>
          <w:bCs/>
          <w:sz w:val="24"/>
          <w:szCs w:val="24"/>
        </w:rPr>
      </w:pPr>
      <w:r>
        <w:rPr>
          <w:rFonts w:ascii="Times New Roman" w:hAnsi="Times New Roman"/>
          <w:b/>
          <w:bCs/>
          <w:sz w:val="24"/>
          <w:szCs w:val="24"/>
        </w:rPr>
        <w:t>Article I.2. Calcul des contributions unitaires et pièces justificatives à produire</w:t>
      </w:r>
    </w:p>
    <w:p w14:paraId="0A67B552" w14:textId="77777777" w:rsidR="008C6E5E" w:rsidRPr="00084BBF" w:rsidRDefault="008C6E5E" w:rsidP="008C6E5E">
      <w:pPr>
        <w:jc w:val="both"/>
        <w:rPr>
          <w:rFonts w:ascii="Times New Roman" w:hAnsi="Times New Roman" w:cs="Times New Roman"/>
          <w:sz w:val="24"/>
          <w:szCs w:val="24"/>
        </w:rPr>
      </w:pPr>
      <w:r>
        <w:rPr>
          <w:rFonts w:ascii="Times New Roman" w:hAnsi="Times New Roman"/>
          <w:smallCaps/>
          <w:snapToGrid w:val="0"/>
          <w:sz w:val="24"/>
          <w:szCs w:val="24"/>
        </w:rPr>
        <w:t>[Pour les projets de volontariat]</w:t>
      </w:r>
    </w:p>
    <w:p w14:paraId="33772A87" w14:textId="77777777" w:rsidR="008A3403" w:rsidRPr="006560C7" w:rsidRDefault="008A3403" w:rsidP="008A3403">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B. Argent de poche</w:t>
      </w:r>
    </w:p>
    <w:p w14:paraId="7DA747E5" w14:textId="77777777" w:rsidR="008A3403" w:rsidRDefault="008A3403" w:rsidP="008A3403">
      <w:pPr>
        <w:jc w:val="both"/>
        <w:rPr>
          <w:rFonts w:ascii="Times New Roman" w:hAnsi="Times New Roman"/>
          <w:b/>
          <w:sz w:val="24"/>
          <w:szCs w:val="24"/>
        </w:rPr>
      </w:pPr>
    </w:p>
    <w:p w14:paraId="4C9F07BE" w14:textId="7F85466C" w:rsidR="008A3403" w:rsidRDefault="008A3403" w:rsidP="005820C2">
      <w:pPr>
        <w:numPr>
          <w:ilvl w:val="0"/>
          <w:numId w:val="8"/>
        </w:numPr>
        <w:tabs>
          <w:tab w:val="left" w:pos="567"/>
        </w:tabs>
        <w:suppressAutoHyphens/>
        <w:spacing w:after="240" w:line="100" w:lineRule="atLeast"/>
        <w:jc w:val="both"/>
        <w:rPr>
          <w:rFonts w:ascii="Times New Roman" w:hAnsi="Times New Roman"/>
          <w:sz w:val="24"/>
          <w:szCs w:val="24"/>
        </w:rPr>
      </w:pPr>
      <w:r>
        <w:rPr>
          <w:rFonts w:ascii="Times New Roman" w:hAnsi="Times New Roman"/>
          <w:sz w:val="24"/>
          <w:szCs w:val="24"/>
        </w:rPr>
        <w:t xml:space="preserve">Calcul du montant de la subvention: le montant de la subvention est calculé en multipliant le nombre de jours, </w:t>
      </w:r>
      <w:r>
        <w:rPr>
          <w:rFonts w:ascii="Times New Roman" w:hAnsi="Times New Roman"/>
          <w:b/>
          <w:sz w:val="24"/>
          <w:szCs w:val="24"/>
          <w:highlight w:val="lightGray"/>
        </w:rPr>
        <w:t>y compris les jours des activités virtuelles</w:t>
      </w:r>
      <w:r>
        <w:rPr>
          <w:rFonts w:ascii="Times New Roman" w:hAnsi="Times New Roman"/>
          <w:sz w:val="24"/>
          <w:szCs w:val="24"/>
        </w:rPr>
        <w:t xml:space="preserve">, par participant (à l’exclusion des personnes qui l’accompagnent) par la contribution unitaire applicable par jour pour le pays d’accueil concerné, telle que spécifiée à l’annexe IV de la convention. Un jour de voyage avant l’activité </w:t>
      </w:r>
      <w:r>
        <w:rPr>
          <w:rFonts w:ascii="Times New Roman" w:hAnsi="Times New Roman"/>
          <w:b/>
          <w:sz w:val="24"/>
          <w:szCs w:val="24"/>
          <w:highlight w:val="lightGray"/>
        </w:rPr>
        <w:t>réelle</w:t>
      </w:r>
      <w:r>
        <w:rPr>
          <w:rFonts w:ascii="Times New Roman" w:hAnsi="Times New Roman"/>
          <w:sz w:val="24"/>
          <w:szCs w:val="24"/>
        </w:rPr>
        <w:t xml:space="preserve"> et un jour de voyage après l’activité </w:t>
      </w:r>
      <w:r>
        <w:rPr>
          <w:rFonts w:ascii="Times New Roman" w:hAnsi="Times New Roman"/>
          <w:b/>
          <w:sz w:val="24"/>
          <w:szCs w:val="24"/>
          <w:highlight w:val="lightGray"/>
        </w:rPr>
        <w:t>réelle</w:t>
      </w:r>
      <w:r>
        <w:rPr>
          <w:rFonts w:ascii="Times New Roman" w:hAnsi="Times New Roman"/>
          <w:sz w:val="24"/>
          <w:szCs w:val="24"/>
        </w:rPr>
        <w:t xml:space="preserve"> peuvent être pris en considération dans le calcul de la subvention, le cas échéant (et jusqu’à quatre jours supplémentaires pour les participants qui reçoivent une subvention relative à un moyen de transport écoresponsable). </w:t>
      </w:r>
    </w:p>
    <w:p w14:paraId="4EF31B01" w14:textId="5A9C4E4C" w:rsidR="002A3654" w:rsidRPr="002A3654" w:rsidRDefault="002A3654" w:rsidP="002A3654">
      <w:pPr>
        <w:pStyle w:val="ListParagraph"/>
        <w:numPr>
          <w:ilvl w:val="0"/>
          <w:numId w:val="23"/>
        </w:numPr>
        <w:tabs>
          <w:tab w:val="left" w:pos="567"/>
        </w:tabs>
        <w:spacing w:after="240"/>
        <w:jc w:val="both"/>
        <w:rPr>
          <w:rFonts w:ascii="Times New Roman" w:hAnsi="Times New Roman"/>
          <w:sz w:val="24"/>
          <w:szCs w:val="24"/>
        </w:rPr>
      </w:pPr>
      <w:r>
        <w:rPr>
          <w:rFonts w:ascii="Times New Roman" w:hAnsi="Times New Roman"/>
          <w:sz w:val="24"/>
          <w:szCs w:val="24"/>
        </w:rPr>
        <w:t xml:space="preserve">Pièces justificatives: </w:t>
      </w:r>
    </w:p>
    <w:p w14:paraId="26CAD8FD" w14:textId="3976E550" w:rsidR="002A3654" w:rsidRPr="002A3654" w:rsidRDefault="002A3654" w:rsidP="002A3654">
      <w:pPr>
        <w:numPr>
          <w:ilvl w:val="0"/>
          <w:numId w:val="9"/>
        </w:numPr>
        <w:tabs>
          <w:tab w:val="left" w:pos="993"/>
        </w:tabs>
        <w:suppressAutoHyphens/>
        <w:spacing w:after="200" w:line="100" w:lineRule="atLeast"/>
        <w:ind w:left="993" w:hanging="448"/>
        <w:jc w:val="both"/>
        <w:rPr>
          <w:rFonts w:ascii="Times New Roman" w:hAnsi="Times New Roman"/>
          <w:sz w:val="24"/>
          <w:szCs w:val="24"/>
        </w:rPr>
      </w:pPr>
      <w:r>
        <w:rPr>
          <w:rFonts w:ascii="Times New Roman" w:hAnsi="Times New Roman"/>
          <w:sz w:val="24"/>
          <w:szCs w:val="24"/>
        </w:rPr>
        <w:t xml:space="preserve">la preuve de la participation à l’activité, sous la forme d’une déclaration signée par le participant et l’organisation d’accueil, précisant le nom du participant, la finalité de </w:t>
      </w:r>
      <w:r>
        <w:rPr>
          <w:rFonts w:ascii="Times New Roman" w:hAnsi="Times New Roman"/>
          <w:sz w:val="24"/>
          <w:szCs w:val="24"/>
        </w:rPr>
        <w:lastRenderedPageBreak/>
        <w:t xml:space="preserve">l’activité, ainsi que le(s) lieu(x) et les dates de début et de fin de l’activité </w:t>
      </w:r>
      <w:r>
        <w:rPr>
          <w:rFonts w:ascii="Times New Roman" w:hAnsi="Times New Roman"/>
          <w:b/>
          <w:bCs/>
          <w:sz w:val="24"/>
          <w:szCs w:val="24"/>
        </w:rPr>
        <w:t>physique et virtuelle</w:t>
      </w:r>
      <w:r>
        <w:rPr>
          <w:rFonts w:ascii="Times New Roman" w:hAnsi="Times New Roman"/>
          <w:sz w:val="24"/>
          <w:szCs w:val="24"/>
        </w:rPr>
        <w:t>;</w:t>
      </w:r>
    </w:p>
    <w:p w14:paraId="7044E8FA" w14:textId="77777777" w:rsidR="002A3654" w:rsidRDefault="002A3654" w:rsidP="008E7B8A">
      <w:pPr>
        <w:jc w:val="both"/>
        <w:rPr>
          <w:rFonts w:ascii="Times New Roman" w:eastAsia="Times New Roman" w:hAnsi="Times New Roman"/>
          <w:smallCaps/>
          <w:snapToGrid w:val="0"/>
          <w:sz w:val="24"/>
          <w:szCs w:val="24"/>
          <w:lang w:eastAsia="en-GB"/>
        </w:rPr>
      </w:pPr>
    </w:p>
    <w:p w14:paraId="5F6DD81B" w14:textId="77777777" w:rsidR="008A3403" w:rsidRDefault="008A3403" w:rsidP="008A3403">
      <w:pPr>
        <w:tabs>
          <w:tab w:val="left" w:pos="851"/>
        </w:tabs>
        <w:spacing w:after="0" w:line="100" w:lineRule="atLeast"/>
        <w:jc w:val="both"/>
        <w:rPr>
          <w:rFonts w:ascii="Times New Roman" w:hAnsi="Times New Roman"/>
          <w:b/>
          <w:sz w:val="24"/>
          <w:szCs w:val="24"/>
          <w:u w:val="single"/>
          <w:shd w:val="clear" w:color="auto" w:fill="FFFF00"/>
        </w:rPr>
      </w:pPr>
      <w:r>
        <w:rPr>
          <w:rFonts w:ascii="Times New Roman" w:hAnsi="Times New Roman"/>
          <w:b/>
          <w:sz w:val="24"/>
          <w:szCs w:val="24"/>
          <w:u w:val="single"/>
          <w:shd w:val="clear" w:color="auto" w:fill="FFFF00"/>
        </w:rPr>
        <w:t>D. Soutien à l’inclusion</w:t>
      </w:r>
    </w:p>
    <w:p w14:paraId="14087A0C" w14:textId="77777777" w:rsidR="008A3403" w:rsidRPr="006560C7" w:rsidRDefault="008A3403" w:rsidP="008A3403">
      <w:pPr>
        <w:tabs>
          <w:tab w:val="left" w:pos="851"/>
        </w:tabs>
        <w:spacing w:after="0" w:line="100" w:lineRule="atLeast"/>
        <w:jc w:val="both"/>
        <w:rPr>
          <w:rFonts w:ascii="Times New Roman" w:hAnsi="Times New Roman"/>
          <w:b/>
          <w:sz w:val="24"/>
          <w:szCs w:val="24"/>
          <w:u w:val="single"/>
          <w:shd w:val="clear" w:color="auto" w:fill="FFFF00"/>
        </w:rPr>
      </w:pPr>
    </w:p>
    <w:p w14:paraId="243EE9F7" w14:textId="15BAC32C" w:rsidR="008A3403" w:rsidRDefault="008A3403" w:rsidP="008E7B8A">
      <w:pPr>
        <w:numPr>
          <w:ilvl w:val="0"/>
          <w:numId w:val="16"/>
        </w:numPr>
        <w:tabs>
          <w:tab w:val="left" w:pos="567"/>
        </w:tabs>
        <w:suppressAutoHyphens/>
        <w:spacing w:after="240" w:line="100" w:lineRule="atLeast"/>
        <w:jc w:val="both"/>
        <w:rPr>
          <w:rFonts w:ascii="Times New Roman" w:hAnsi="Times New Roman"/>
          <w:sz w:val="24"/>
          <w:szCs w:val="24"/>
        </w:rPr>
      </w:pPr>
      <w:r>
        <w:rPr>
          <w:rFonts w:ascii="Times New Roman" w:hAnsi="Times New Roman"/>
          <w:sz w:val="24"/>
          <w:szCs w:val="24"/>
        </w:rPr>
        <w:t xml:space="preserve">Calcul du montant de la subvention: le montant de la subvention est calculé en multipliant le nombre de jours, </w:t>
      </w:r>
      <w:r>
        <w:rPr>
          <w:rFonts w:ascii="Times New Roman" w:hAnsi="Times New Roman"/>
          <w:b/>
          <w:sz w:val="24"/>
          <w:szCs w:val="24"/>
          <w:highlight w:val="lightGray"/>
        </w:rPr>
        <w:t>y compris les jours des activités virtuelles</w:t>
      </w:r>
      <w:r>
        <w:rPr>
          <w:rFonts w:ascii="Times New Roman" w:hAnsi="Times New Roman"/>
          <w:sz w:val="24"/>
          <w:szCs w:val="24"/>
        </w:rPr>
        <w:t xml:space="preserve">, par participant (à l’exclusion des personnes qui l’accompagnent) par la contribution unitaire applicable par jour pour le pays d’accueil concerné, telle que spécifiée à l’annexe IV de la convention. Un jour de voyage avant l’activité </w:t>
      </w:r>
      <w:r>
        <w:rPr>
          <w:rFonts w:ascii="Times New Roman" w:hAnsi="Times New Roman"/>
          <w:b/>
          <w:sz w:val="24"/>
          <w:szCs w:val="24"/>
          <w:highlight w:val="lightGray"/>
        </w:rPr>
        <w:t>réelle</w:t>
      </w:r>
      <w:r>
        <w:rPr>
          <w:rFonts w:ascii="Times New Roman" w:hAnsi="Times New Roman"/>
          <w:sz w:val="24"/>
          <w:szCs w:val="24"/>
        </w:rPr>
        <w:t xml:space="preserve"> et un jour de voyage après l’activité </w:t>
      </w:r>
      <w:r>
        <w:rPr>
          <w:rFonts w:ascii="Times New Roman" w:hAnsi="Times New Roman"/>
          <w:b/>
          <w:sz w:val="24"/>
          <w:szCs w:val="24"/>
          <w:highlight w:val="lightGray"/>
        </w:rPr>
        <w:t>réelle</w:t>
      </w:r>
      <w:r>
        <w:rPr>
          <w:rFonts w:ascii="Times New Roman" w:hAnsi="Times New Roman"/>
          <w:sz w:val="24"/>
          <w:szCs w:val="24"/>
        </w:rPr>
        <w:t xml:space="preserve"> peuvent être pris en considération dans le calcul de la subvention, le cas échéant (et jusqu’à quatre jours supplémentaires pour les participants qui reçoivent une subvention relative à un moyen de transport écoresponsable). </w:t>
      </w:r>
    </w:p>
    <w:p w14:paraId="27EAEE0B" w14:textId="1599050C" w:rsidR="002A3654" w:rsidRPr="008E7B8A" w:rsidRDefault="002A3654" w:rsidP="002A3654">
      <w:pPr>
        <w:tabs>
          <w:tab w:val="left" w:pos="567"/>
        </w:tabs>
        <w:suppressAutoHyphens/>
        <w:spacing w:after="240" w:line="100" w:lineRule="atLeast"/>
        <w:ind w:left="567" w:hanging="425"/>
        <w:jc w:val="both"/>
        <w:rPr>
          <w:rFonts w:ascii="Times New Roman" w:hAnsi="Times New Roman"/>
          <w:sz w:val="24"/>
          <w:szCs w:val="24"/>
        </w:rPr>
      </w:pPr>
      <w:r>
        <w:rPr>
          <w:rFonts w:ascii="Times New Roman" w:hAnsi="Times New Roman"/>
          <w:sz w:val="24"/>
          <w:szCs w:val="24"/>
        </w:rPr>
        <w:t xml:space="preserve">c) Pièces justificatives: la preuve de la mise en œuvre des mesures et activités supplémentaires destinées à promouvoir l’inclusion sociale sera requise sous la forme d’une description de ces mesures dans le rapport final. Le bénéficiaire devra fournir en outre la preuve de la participation à l’activité, sous la forme d’une déclaration signée par le participant et l’organisation d’accueil, précisant le nom du participant, l’organisation d’accueil, la finalité de l’activité, ainsi que le(s) lieu(x) et les dates de début et de fin de l’activité </w:t>
      </w:r>
      <w:r>
        <w:rPr>
          <w:rFonts w:ascii="Times New Roman" w:hAnsi="Times New Roman"/>
          <w:b/>
          <w:bCs/>
          <w:sz w:val="24"/>
          <w:szCs w:val="24"/>
        </w:rPr>
        <w:t>physique et virtuelle</w:t>
      </w:r>
      <w:r>
        <w:rPr>
          <w:rFonts w:ascii="Times New Roman" w:hAnsi="Times New Roman"/>
          <w:sz w:val="24"/>
          <w:szCs w:val="24"/>
        </w:rPr>
        <w:t>.</w:t>
      </w:r>
    </w:p>
    <w:p w14:paraId="683C8289" w14:textId="77777777" w:rsidR="000D2699" w:rsidRDefault="000D2699">
      <w:pPr>
        <w:rPr>
          <w:rFonts w:ascii="Times New Roman" w:hAnsi="Times New Roman" w:cs="Times New Roman"/>
          <w:sz w:val="24"/>
          <w:szCs w:val="24"/>
        </w:rPr>
      </w:pPr>
      <w:r>
        <w:br w:type="page"/>
      </w:r>
    </w:p>
    <w:p w14:paraId="2B4744F0" w14:textId="0F42EBDB" w:rsidR="00923ECE" w:rsidRDefault="00923ECE" w:rsidP="00923ECE">
      <w:pPr>
        <w:jc w:val="both"/>
        <w:rPr>
          <w:rFonts w:ascii="Times New Roman" w:hAnsi="Times New Roman" w:cs="Times New Roman"/>
          <w:sz w:val="24"/>
          <w:szCs w:val="24"/>
          <w:u w:val="single"/>
        </w:rPr>
      </w:pPr>
      <w:r>
        <w:rPr>
          <w:rFonts w:ascii="Times New Roman" w:hAnsi="Times New Roman"/>
          <w:sz w:val="24"/>
          <w:szCs w:val="24"/>
          <w:u w:val="single"/>
        </w:rPr>
        <w:lastRenderedPageBreak/>
        <w:t>Partie II de II</w:t>
      </w:r>
    </w:p>
    <w:p w14:paraId="155EEB88" w14:textId="77777777" w:rsidR="00923ECE" w:rsidRPr="008D04AA" w:rsidRDefault="00923ECE" w:rsidP="00923ECE">
      <w:pPr>
        <w:jc w:val="both"/>
        <w:rPr>
          <w:rFonts w:ascii="Times New Roman" w:hAnsi="Times New Roman" w:cs="Times New Roman"/>
          <w:sz w:val="24"/>
          <w:szCs w:val="24"/>
          <w:u w:val="single"/>
          <w:lang w:val="fr-BE"/>
        </w:rPr>
      </w:pPr>
    </w:p>
    <w:p w14:paraId="2C38DB17" w14:textId="72124A23" w:rsidR="005D1348" w:rsidRDefault="00F05964" w:rsidP="00347AC4">
      <w:pPr>
        <w:jc w:val="both"/>
        <w:rPr>
          <w:rFonts w:ascii="Times New Roman" w:hAnsi="Times New Roman" w:cs="Times New Roman"/>
          <w:sz w:val="24"/>
          <w:szCs w:val="24"/>
        </w:rPr>
      </w:pPr>
      <w:r>
        <w:rPr>
          <w:rFonts w:ascii="Times New Roman" w:hAnsi="Times New Roman"/>
          <w:sz w:val="24"/>
          <w:szCs w:val="24"/>
        </w:rPr>
        <w:t xml:space="preserve">Les règles suivantes </w:t>
      </w:r>
      <w:r>
        <w:rPr>
          <w:rFonts w:ascii="Times New Roman" w:hAnsi="Times New Roman"/>
          <w:b/>
          <w:sz w:val="24"/>
          <w:szCs w:val="24"/>
          <w:u w:val="single"/>
        </w:rPr>
        <w:t>s’ajoutent</w:t>
      </w:r>
      <w:r>
        <w:rPr>
          <w:rFonts w:ascii="Times New Roman" w:hAnsi="Times New Roman"/>
          <w:sz w:val="24"/>
          <w:szCs w:val="24"/>
        </w:rPr>
        <w:t xml:space="preserve"> à celles des articles I.2 et II.2 de l’annexe III et ne s’appliquent qu’aux cas dans lesquels des activités virtuelles doivent être organisées en raison de la COVID</w:t>
      </w:r>
      <w:r w:rsidR="008D04AA">
        <w:rPr>
          <w:rFonts w:ascii="Times New Roman" w:hAnsi="Times New Roman"/>
          <w:sz w:val="24"/>
          <w:szCs w:val="24"/>
        </w:rPr>
        <w:noBreakHyphen/>
      </w:r>
      <w:r>
        <w:rPr>
          <w:rFonts w:ascii="Times New Roman" w:hAnsi="Times New Roman"/>
          <w:sz w:val="24"/>
          <w:szCs w:val="24"/>
        </w:rPr>
        <w:t>19. Les activités virtuelles sont soumises à l’obligation de rapport conformément aux règles prévues dans la convention de subvention.</w:t>
      </w:r>
    </w:p>
    <w:p w14:paraId="05A3CD68" w14:textId="77777777" w:rsidR="00EA1A7D" w:rsidRPr="008D04AA" w:rsidRDefault="00EA1A7D" w:rsidP="00347AC4">
      <w:pPr>
        <w:jc w:val="both"/>
        <w:rPr>
          <w:rFonts w:ascii="Times New Roman" w:hAnsi="Times New Roman" w:cs="Times New Roman"/>
          <w:sz w:val="24"/>
          <w:szCs w:val="24"/>
          <w:lang w:val="fr-BE"/>
        </w:rPr>
      </w:pPr>
    </w:p>
    <w:p w14:paraId="024401EC" w14:textId="2A635243" w:rsidR="00E25758" w:rsidRPr="00F1436C" w:rsidRDefault="00E25758">
      <w:pPr>
        <w:rPr>
          <w:rFonts w:ascii="Times New Roman" w:hAnsi="Times New Roman" w:cs="Times New Roman"/>
          <w:b/>
          <w:bCs/>
          <w:sz w:val="24"/>
          <w:szCs w:val="24"/>
        </w:rPr>
      </w:pPr>
      <w:r>
        <w:rPr>
          <w:rFonts w:ascii="Times New Roman" w:hAnsi="Times New Roman"/>
          <w:b/>
          <w:bCs/>
          <w:sz w:val="24"/>
          <w:szCs w:val="24"/>
        </w:rPr>
        <w:t>Article I.2. Calcul des contributions unitaires et pièces justificatives à produire</w:t>
      </w:r>
    </w:p>
    <w:p w14:paraId="4F822C2C" w14:textId="3D31AE80" w:rsidR="008A3403" w:rsidRPr="008E7B8A" w:rsidRDefault="002D5360" w:rsidP="002D5360">
      <w:pPr>
        <w:jc w:val="both"/>
        <w:rPr>
          <w:rFonts w:ascii="Times New Roman" w:hAnsi="Times New Roman" w:cs="Times New Roman"/>
          <w:sz w:val="24"/>
          <w:szCs w:val="24"/>
        </w:rPr>
      </w:pPr>
      <w:r>
        <w:rPr>
          <w:rFonts w:ascii="Times New Roman" w:hAnsi="Times New Roman"/>
          <w:sz w:val="24"/>
          <w:szCs w:val="24"/>
        </w:rPr>
        <w:t>Les frais de déplacement et les frais d'inscription à des cours de langues ne sont pas éligibles pour les activités virtuelles Le soutien linguistique en ligne (OLS) devrait être fourni dans tous les cas.</w:t>
      </w:r>
    </w:p>
    <w:p w14:paraId="619C2985" w14:textId="2705CD4F" w:rsidR="002D5360" w:rsidRDefault="008A2412" w:rsidP="002D5360">
      <w:pPr>
        <w:jc w:val="both"/>
        <w:rPr>
          <w:rFonts w:ascii="Times New Roman" w:eastAsia="Times New Roman" w:hAnsi="Times New Roman"/>
          <w:smallCaps/>
          <w:snapToGrid w:val="0"/>
          <w:sz w:val="24"/>
          <w:szCs w:val="24"/>
        </w:rPr>
      </w:pPr>
      <w:r>
        <w:rPr>
          <w:rFonts w:ascii="Times New Roman" w:hAnsi="Times New Roman"/>
          <w:smallCaps/>
          <w:snapToGrid w:val="0"/>
          <w:sz w:val="24"/>
          <w:szCs w:val="24"/>
        </w:rPr>
        <w:t>]</w:t>
      </w:r>
    </w:p>
    <w:p w14:paraId="14270F4D" w14:textId="77777777" w:rsidR="008C6E5E" w:rsidRPr="00084BBF" w:rsidRDefault="008C6E5E" w:rsidP="008C6E5E">
      <w:pPr>
        <w:jc w:val="both"/>
        <w:rPr>
          <w:rFonts w:ascii="Times New Roman" w:hAnsi="Times New Roman" w:cs="Times New Roman"/>
          <w:sz w:val="24"/>
          <w:szCs w:val="24"/>
        </w:rPr>
      </w:pPr>
      <w:r>
        <w:rPr>
          <w:rFonts w:ascii="Times New Roman" w:hAnsi="Times New Roman"/>
          <w:smallCaps/>
          <w:snapToGrid w:val="0"/>
          <w:sz w:val="24"/>
          <w:szCs w:val="24"/>
        </w:rPr>
        <w:t>[Pour les projets de volontariat]</w:t>
      </w:r>
    </w:p>
    <w:p w14:paraId="137AB569" w14:textId="24A22844" w:rsidR="006B4372" w:rsidRPr="00F1436C" w:rsidRDefault="006B4372" w:rsidP="008E7B8A">
      <w:pPr>
        <w:pStyle w:val="ListBullet"/>
        <w:rPr>
          <w:b/>
          <w:bCs/>
          <w:highlight w:val="yellow"/>
          <w:u w:val="single"/>
        </w:rPr>
      </w:pPr>
      <w:r>
        <w:rPr>
          <w:b/>
          <w:bCs/>
          <w:highlight w:val="yellow"/>
          <w:u w:val="single"/>
        </w:rPr>
        <w:t xml:space="preserve">C2. Soutien organisationnel </w:t>
      </w:r>
    </w:p>
    <w:p w14:paraId="6DBBDC73" w14:textId="52475B93" w:rsidR="00D40186" w:rsidRDefault="00D40186" w:rsidP="008E7B8A">
      <w:pPr>
        <w:numPr>
          <w:ilvl w:val="0"/>
          <w:numId w:val="17"/>
        </w:numPr>
        <w:tabs>
          <w:tab w:val="left" w:pos="567"/>
        </w:tabs>
        <w:suppressAutoHyphens/>
        <w:spacing w:after="240" w:line="100" w:lineRule="atLeast"/>
        <w:jc w:val="both"/>
        <w:rPr>
          <w:rFonts w:ascii="Times New Roman" w:hAnsi="Times New Roman"/>
          <w:sz w:val="24"/>
          <w:szCs w:val="24"/>
        </w:rPr>
      </w:pPr>
      <w:r>
        <w:rPr>
          <w:rFonts w:ascii="Times New Roman" w:hAnsi="Times New Roman"/>
          <w:sz w:val="24"/>
          <w:szCs w:val="24"/>
        </w:rPr>
        <w:t>Calcul du montant de la subvention: le montant de la subvention est calculé en multipliant le nombre total de jours par participant aux activités virtuelles par 35 % de la contribution unitaire applicable par jour pour le pays d’accueil concerné, telle que spécifiée à l’annexe IV de la convention.</w:t>
      </w:r>
    </w:p>
    <w:p w14:paraId="17116E9A" w14:textId="45D3E139" w:rsidR="00F05964" w:rsidRPr="00F1436C" w:rsidRDefault="00F05964" w:rsidP="008E7B8A">
      <w:pPr>
        <w:numPr>
          <w:ilvl w:val="0"/>
          <w:numId w:val="17"/>
        </w:numPr>
        <w:tabs>
          <w:tab w:val="left" w:pos="567"/>
        </w:tabs>
        <w:suppressAutoHyphens/>
        <w:spacing w:after="240" w:line="100" w:lineRule="atLeast"/>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la présence du participant à l’activité.</w:t>
      </w:r>
    </w:p>
    <w:p w14:paraId="25AE3847" w14:textId="2275AE94" w:rsidR="00F05964" w:rsidRPr="008E7B8A" w:rsidRDefault="00F05964" w:rsidP="008E7B8A">
      <w:pPr>
        <w:numPr>
          <w:ilvl w:val="0"/>
          <w:numId w:val="17"/>
        </w:numPr>
        <w:tabs>
          <w:tab w:val="left" w:pos="567"/>
        </w:tabs>
        <w:suppressAutoHyphens/>
        <w:spacing w:after="240" w:line="100" w:lineRule="atLeast"/>
        <w:jc w:val="both"/>
        <w:rPr>
          <w:rFonts w:ascii="Times New Roman" w:hAnsi="Times New Roman"/>
          <w:sz w:val="24"/>
          <w:szCs w:val="24"/>
        </w:rPr>
      </w:pPr>
      <w:r>
        <w:rPr>
          <w:rFonts w:ascii="Times New Roman" w:hAnsi="Times New Roman"/>
          <w:sz w:val="24"/>
          <w:szCs w:val="24"/>
        </w:rPr>
        <w:t>Pièces justificatives: la preuve de la participation à l’activité, sous la forme d’une déclaration signée par l’organisation d’accueil, précisant le nom du participant et de l’organisation d’accueil, la finalité de l’activité, ainsi que le(s) lieu(x) et les dates de début et de fin de l’activité virtuelle.</w:t>
      </w:r>
    </w:p>
    <w:p w14:paraId="6D758315" w14:textId="66B28EC7" w:rsidR="00E87661" w:rsidRPr="008D04AA" w:rsidRDefault="00E87661" w:rsidP="00296624">
      <w:pPr>
        <w:numPr>
          <w:ilvl w:val="0"/>
          <w:numId w:val="17"/>
        </w:numPr>
        <w:tabs>
          <w:tab w:val="left" w:pos="567"/>
        </w:tabs>
        <w:suppressAutoHyphens/>
        <w:spacing w:after="240" w:line="100" w:lineRule="atLeast"/>
        <w:jc w:val="both"/>
        <w:rPr>
          <w:rFonts w:ascii="Times New Roman" w:hAnsi="Times New Roman"/>
          <w:sz w:val="24"/>
          <w:szCs w:val="24"/>
        </w:rPr>
      </w:pPr>
      <w:r w:rsidRPr="008D04AA">
        <w:rPr>
          <w:rFonts w:ascii="Times New Roman" w:hAnsi="Times New Roman"/>
          <w:sz w:val="24"/>
          <w:szCs w:val="24"/>
        </w:rPr>
        <w:t>Rapports:  le bénéficiaire consigne dans l’outil d’établissement de rapports et de gestion du Corps européen de solidarité toutes les activités virtuelles réalisées dans le cadre du projet.</w:t>
      </w:r>
    </w:p>
    <w:p w14:paraId="4ACFD110" w14:textId="2F1B0416" w:rsidR="00F05964" w:rsidRDefault="00F05964">
      <w:pPr>
        <w:pStyle w:val="ListBullet"/>
        <w:rPr>
          <w:b/>
          <w:bCs/>
        </w:rPr>
      </w:pPr>
      <w:r>
        <w:rPr>
          <w:b/>
          <w:bCs/>
        </w:rPr>
        <w:t>Article II.2. Calcul des coûts réels</w:t>
      </w:r>
    </w:p>
    <w:p w14:paraId="2EADB9C1" w14:textId="6C318B17" w:rsidR="008C6E5E" w:rsidRPr="00084BBF" w:rsidRDefault="008C6E5E" w:rsidP="008C6E5E">
      <w:pPr>
        <w:jc w:val="both"/>
        <w:rPr>
          <w:rFonts w:ascii="Times New Roman" w:hAnsi="Times New Roman" w:cs="Times New Roman"/>
          <w:sz w:val="24"/>
          <w:szCs w:val="24"/>
        </w:rPr>
      </w:pPr>
      <w:r>
        <w:rPr>
          <w:rFonts w:ascii="Times New Roman" w:hAnsi="Times New Roman"/>
          <w:smallCaps/>
          <w:snapToGrid w:val="0"/>
          <w:sz w:val="24"/>
          <w:szCs w:val="24"/>
        </w:rPr>
        <w:t>[Pour les projets de volontariat et les projets de solidarité]</w:t>
      </w:r>
    </w:p>
    <w:p w14:paraId="24ECE22E" w14:textId="77777777" w:rsidR="008C6E5E" w:rsidRPr="008D04AA" w:rsidRDefault="008C6E5E">
      <w:pPr>
        <w:pStyle w:val="ListBullet"/>
        <w:rPr>
          <w:b/>
          <w:bCs/>
          <w:lang w:val="fr-BE"/>
        </w:rPr>
      </w:pPr>
    </w:p>
    <w:p w14:paraId="7AADD652" w14:textId="71B97409" w:rsidR="00BE4073" w:rsidRPr="005056BD" w:rsidRDefault="00BE4073" w:rsidP="00E66B69">
      <w:pPr>
        <w:suppressAutoHyphens/>
        <w:spacing w:after="200" w:line="100" w:lineRule="atLeast"/>
        <w:jc w:val="both"/>
        <w:rPr>
          <w:rFonts w:ascii="Times New Roman" w:hAnsi="Times New Roman"/>
          <w:b/>
          <w:sz w:val="24"/>
          <w:szCs w:val="24"/>
        </w:rPr>
      </w:pPr>
      <w:r>
        <w:rPr>
          <w:rFonts w:ascii="Times New Roman" w:hAnsi="Times New Roman"/>
          <w:sz w:val="24"/>
          <w:szCs w:val="24"/>
        </w:rPr>
        <w:t xml:space="preserve">A. </w:t>
      </w:r>
      <w:r>
        <w:rPr>
          <w:rFonts w:ascii="Times New Roman" w:hAnsi="Times New Roman"/>
          <w:b/>
          <w:sz w:val="24"/>
          <w:szCs w:val="24"/>
          <w:u w:val="single"/>
          <w:shd w:val="clear" w:color="auto" w:fill="FFFF00"/>
        </w:rPr>
        <w:t>Coûts exceptionnels liés aux activités virtuelles</w:t>
      </w:r>
    </w:p>
    <w:p w14:paraId="7A04084A" w14:textId="25BE56BB" w:rsidR="00BE4073" w:rsidRDefault="00685B11" w:rsidP="00BE4073">
      <w:pPr>
        <w:spacing w:after="0" w:line="100" w:lineRule="atLeast"/>
        <w:jc w:val="both"/>
        <w:rPr>
          <w:rFonts w:ascii="Times New Roman" w:hAnsi="Times New Roman"/>
          <w:sz w:val="24"/>
          <w:szCs w:val="24"/>
        </w:rPr>
      </w:pPr>
      <w:r>
        <w:rPr>
          <w:rFonts w:ascii="Times New Roman" w:hAnsi="Times New Roman"/>
          <w:sz w:val="24"/>
          <w:szCs w:val="24"/>
        </w:rPr>
        <w:t xml:space="preserve">Les bénéficiaires sont autorisés à transférer jusqu'à 10 % des fonds d’une catégorie budgétaire, quelle qu’elle soit, sur la base des contributions unitaires aux coûts exceptionnels afin de couvrir les coûts liés à l’achat et/ou à la location de matériel ou de services nécessaires à la mise en </w:t>
      </w:r>
      <w:r>
        <w:rPr>
          <w:rFonts w:ascii="Times New Roman" w:hAnsi="Times New Roman"/>
          <w:sz w:val="24"/>
          <w:szCs w:val="24"/>
        </w:rPr>
        <w:lastRenderedPageBreak/>
        <w:t xml:space="preserve">œuvre des activités virtuelles de mobilité liés à la COVID-19, même si aucun fonds n’a été initialement alloué à la catégorie budgétaire «coûts exceptionnels». </w:t>
      </w:r>
    </w:p>
    <w:p w14:paraId="12120859" w14:textId="77777777" w:rsidR="00685B11" w:rsidRDefault="00685B11" w:rsidP="00BE4073">
      <w:pPr>
        <w:spacing w:after="0" w:line="100" w:lineRule="atLeast"/>
        <w:jc w:val="both"/>
        <w:rPr>
          <w:rFonts w:ascii="Times New Roman" w:hAnsi="Times New Roman"/>
          <w:sz w:val="24"/>
          <w:szCs w:val="24"/>
        </w:rPr>
      </w:pPr>
    </w:p>
    <w:p w14:paraId="07BEEC82" w14:textId="3D007117" w:rsidR="00BE4073" w:rsidRDefault="008E7B8A" w:rsidP="00E66B69">
      <w:pPr>
        <w:spacing w:line="100" w:lineRule="atLeast"/>
        <w:ind w:left="1134" w:hanging="491"/>
        <w:jc w:val="both"/>
        <w:rPr>
          <w:rFonts w:ascii="Times New Roman" w:hAnsi="Times New Roman"/>
          <w:sz w:val="24"/>
          <w:szCs w:val="24"/>
        </w:rPr>
      </w:pPr>
      <w:r>
        <w:rPr>
          <w:rFonts w:ascii="Times New Roman" w:hAnsi="Times New Roman"/>
          <w:sz w:val="24"/>
          <w:szCs w:val="24"/>
        </w:rPr>
        <w:t xml:space="preserve"> a) </w:t>
      </w:r>
      <w:r>
        <w:tab/>
      </w:r>
      <w:r>
        <w:rPr>
          <w:rFonts w:ascii="Times New Roman" w:hAnsi="Times New Roman"/>
          <w:sz w:val="24"/>
          <w:szCs w:val="24"/>
        </w:rPr>
        <w:t xml:space="preserve">Calcul du montant de la subvention: la subvention est un remboursement de 100 % des coûts éligibles réellement exposés pour la participation aux activités virtuelles des jeunes défavorisés et de 75 % des coûts éligibles réellement exposés pour l’achat et/ou la location de matériel et/ou de services. </w:t>
      </w:r>
    </w:p>
    <w:p w14:paraId="7A4C3A1E" w14:textId="77777777" w:rsidR="000F0D38" w:rsidRDefault="00BE4073" w:rsidP="00E66B69">
      <w:pPr>
        <w:spacing w:line="100" w:lineRule="atLeast"/>
        <w:ind w:left="1134" w:hanging="491"/>
        <w:jc w:val="both"/>
        <w:rPr>
          <w:rFonts w:ascii="Times New Roman" w:hAnsi="Times New Roman"/>
          <w:sz w:val="24"/>
          <w:szCs w:val="24"/>
        </w:rPr>
      </w:pPr>
      <w:r>
        <w:rPr>
          <w:rFonts w:ascii="Times New Roman" w:hAnsi="Times New Roman"/>
          <w:sz w:val="24"/>
          <w:szCs w:val="24"/>
        </w:rPr>
        <w:t xml:space="preserve">b) </w:t>
      </w:r>
      <w:r>
        <w:tab/>
      </w:r>
      <w:r>
        <w:rPr>
          <w:rFonts w:ascii="Times New Roman" w:hAnsi="Times New Roman"/>
          <w:sz w:val="24"/>
          <w:szCs w:val="24"/>
        </w:rPr>
        <w:t xml:space="preserve">Coûts éligibles: </w:t>
      </w:r>
    </w:p>
    <w:p w14:paraId="2B29E689" w14:textId="61BA7418" w:rsidR="000F0D38" w:rsidRDefault="000F0D38" w:rsidP="008E7B8A">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les coûts directement liés aux participants défavorisés et nécessaires à la mise en œuvre des activités virtuelles; </w:t>
      </w:r>
    </w:p>
    <w:p w14:paraId="63B48230" w14:textId="77777777" w:rsidR="000F0D38" w:rsidRPr="008E7B8A" w:rsidRDefault="000F0D38" w:rsidP="008E7B8A">
      <w:pPr>
        <w:pStyle w:val="ListParagraph"/>
        <w:ind w:left="1363"/>
        <w:jc w:val="both"/>
        <w:rPr>
          <w:rFonts w:ascii="Times New Roman" w:hAnsi="Times New Roman"/>
          <w:sz w:val="24"/>
          <w:szCs w:val="24"/>
        </w:rPr>
      </w:pPr>
    </w:p>
    <w:p w14:paraId="4EA7B480" w14:textId="3C91229A" w:rsidR="008A3403" w:rsidRPr="008E7B8A" w:rsidRDefault="000F0D38" w:rsidP="008E7B8A">
      <w:pPr>
        <w:pStyle w:val="ListParagraph"/>
        <w:numPr>
          <w:ilvl w:val="0"/>
          <w:numId w:val="12"/>
        </w:numPr>
        <w:jc w:val="both"/>
        <w:rPr>
          <w:rFonts w:ascii="Times New Roman" w:hAnsi="Times New Roman"/>
          <w:sz w:val="24"/>
          <w:szCs w:val="24"/>
        </w:rPr>
      </w:pPr>
      <w:r>
        <w:rPr>
          <w:rFonts w:ascii="Times New Roman" w:hAnsi="Times New Roman"/>
          <w:sz w:val="24"/>
          <w:szCs w:val="24"/>
        </w:rPr>
        <w:t>les coûts liés à l’achat et/ou la location du matériel et/ou des services nécessaires à la mise en œuvre des activités virtuelles de mobilité.</w:t>
      </w:r>
    </w:p>
    <w:p w14:paraId="642DDDED" w14:textId="77777777" w:rsidR="008A3403" w:rsidRPr="008E7B8A" w:rsidRDefault="008A3403" w:rsidP="008E7B8A">
      <w:pPr>
        <w:pStyle w:val="ListParagraph"/>
        <w:ind w:left="1363"/>
        <w:jc w:val="both"/>
        <w:rPr>
          <w:rFonts w:ascii="Times New Roman" w:hAnsi="Times New Roman"/>
          <w:sz w:val="24"/>
          <w:szCs w:val="24"/>
        </w:rPr>
      </w:pPr>
    </w:p>
    <w:p w14:paraId="1C6CF1EA" w14:textId="773C25F9" w:rsidR="000F0D38" w:rsidRDefault="00BE4073" w:rsidP="008E7B8A">
      <w:pPr>
        <w:suppressAutoHyphens/>
        <w:spacing w:after="200" w:line="100" w:lineRule="atLeast"/>
        <w:ind w:left="1134" w:hanging="567"/>
        <w:jc w:val="both"/>
        <w:rPr>
          <w:rFonts w:ascii="Times New Roman" w:hAnsi="Times New Roman"/>
          <w:sz w:val="24"/>
          <w:szCs w:val="24"/>
        </w:rPr>
      </w:pPr>
      <w:r>
        <w:rPr>
          <w:rFonts w:ascii="Times New Roman" w:hAnsi="Times New Roman"/>
          <w:sz w:val="24"/>
          <w:szCs w:val="24"/>
        </w:rPr>
        <w:t xml:space="preserve">c) </w:t>
      </w:r>
      <w:r>
        <w:tab/>
      </w:r>
      <w:r>
        <w:rPr>
          <w:rFonts w:ascii="Times New Roman" w:hAnsi="Times New Roman"/>
          <w:sz w:val="24"/>
          <w:szCs w:val="24"/>
        </w:rPr>
        <w:t>Pièces justificatives: la preuve de paiement des coûts exposés sur la base d’une facture mentionnant le nom et l’adresse de l’organisme émetteur de la facture, le montant et la devise, ainsi que la date de la facture.</w:t>
      </w:r>
    </w:p>
    <w:p w14:paraId="1330B515" w14:textId="2CDDA002" w:rsidR="000F0D38" w:rsidRPr="003911D5" w:rsidRDefault="000F0D38" w:rsidP="008E7B8A">
      <w:pPr>
        <w:suppressAutoHyphens/>
        <w:spacing w:after="200" w:line="100" w:lineRule="atLeast"/>
        <w:ind w:left="360" w:firstLine="207"/>
        <w:jc w:val="both"/>
        <w:rPr>
          <w:rFonts w:ascii="Times New Roman" w:hAnsi="Times New Roman"/>
          <w:sz w:val="24"/>
          <w:szCs w:val="24"/>
        </w:rPr>
      </w:pPr>
      <w:r>
        <w:rPr>
          <w:rFonts w:ascii="Times New Roman" w:hAnsi="Times New Roman"/>
          <w:sz w:val="24"/>
          <w:szCs w:val="24"/>
        </w:rPr>
        <w:t>d) Rapports:</w:t>
      </w:r>
    </w:p>
    <w:p w14:paraId="4E9F91A3" w14:textId="4904B008" w:rsidR="000F0D38" w:rsidRPr="008E7B8A" w:rsidRDefault="000F0D38" w:rsidP="008E7B8A">
      <w:pPr>
        <w:pStyle w:val="ListParagraph"/>
        <w:numPr>
          <w:ilvl w:val="0"/>
          <w:numId w:val="12"/>
        </w:numPr>
        <w:jc w:val="both"/>
        <w:rPr>
          <w:rFonts w:ascii="Times New Roman" w:hAnsi="Times New Roman"/>
          <w:sz w:val="24"/>
          <w:szCs w:val="24"/>
        </w:rPr>
      </w:pPr>
      <w:r>
        <w:rPr>
          <w:rFonts w:ascii="Times New Roman" w:hAnsi="Times New Roman"/>
          <w:sz w:val="24"/>
          <w:szCs w:val="24"/>
        </w:rPr>
        <w:t>le bénéficiaire indique dans l’outil d’établissement de rapports et de gestion du Corps européen de solidarité si des coûts exceptionnels ont été exposés;</w:t>
      </w:r>
    </w:p>
    <w:p w14:paraId="5AA2FE18" w14:textId="77777777" w:rsidR="000F0D38" w:rsidRPr="008E7B8A" w:rsidRDefault="000F0D38" w:rsidP="008E7B8A">
      <w:pPr>
        <w:pStyle w:val="ListParagraph"/>
        <w:ind w:left="1363"/>
        <w:jc w:val="both"/>
        <w:rPr>
          <w:rFonts w:ascii="Times New Roman" w:hAnsi="Times New Roman"/>
          <w:sz w:val="24"/>
          <w:szCs w:val="24"/>
        </w:rPr>
      </w:pPr>
    </w:p>
    <w:p w14:paraId="39FABD6E" w14:textId="53E211A6" w:rsidR="000F0D38" w:rsidRPr="008E7B8A" w:rsidRDefault="000F0D38" w:rsidP="008E7B8A">
      <w:pPr>
        <w:pStyle w:val="ListParagraph"/>
        <w:numPr>
          <w:ilvl w:val="0"/>
          <w:numId w:val="12"/>
        </w:numPr>
        <w:jc w:val="both"/>
        <w:rPr>
          <w:rFonts w:ascii="Times New Roman" w:hAnsi="Times New Roman"/>
          <w:sz w:val="24"/>
          <w:szCs w:val="24"/>
        </w:rPr>
      </w:pPr>
      <w:r>
        <w:rPr>
          <w:rFonts w:ascii="Times New Roman" w:hAnsi="Times New Roman"/>
          <w:sz w:val="24"/>
          <w:szCs w:val="24"/>
        </w:rPr>
        <w:t>dans l’affirmative, le bénéficiaire précise dans l’outil d’établissement de rapports et de gestion du Corps européen de solidarité le type de dépenses ainsi que le montant réel des frais afférents exposés.</w:t>
      </w:r>
    </w:p>
    <w:p w14:paraId="5989B6A5" w14:textId="77777777" w:rsidR="000F0D38" w:rsidRPr="008D04AA" w:rsidRDefault="000F0D38" w:rsidP="008E7B8A">
      <w:pPr>
        <w:suppressAutoHyphens/>
        <w:spacing w:after="200" w:line="100" w:lineRule="atLeast"/>
        <w:ind w:left="1134" w:hanging="567"/>
        <w:jc w:val="both"/>
        <w:rPr>
          <w:rFonts w:ascii="Times New Roman" w:hAnsi="Times New Roman"/>
          <w:sz w:val="24"/>
          <w:szCs w:val="24"/>
          <w:lang w:val="fr-BE"/>
        </w:rPr>
      </w:pPr>
    </w:p>
    <w:p w14:paraId="2C842CDC" w14:textId="77777777" w:rsidR="002A38E4" w:rsidRPr="008D04AA" w:rsidRDefault="002A38E4" w:rsidP="00E66B69">
      <w:pPr>
        <w:pStyle w:val="ListBullet"/>
        <w:ind w:left="1134"/>
        <w:rPr>
          <w:b/>
          <w:lang w:val="fr-BE"/>
        </w:rPr>
      </w:pPr>
    </w:p>
    <w:p w14:paraId="68A6DB6B" w14:textId="051788FD" w:rsidR="00704F41" w:rsidRDefault="00704F41" w:rsidP="006F480F">
      <w:pPr>
        <w:pStyle w:val="ListBullet"/>
        <w:rPr>
          <w:b/>
        </w:rPr>
      </w:pPr>
    </w:p>
    <w:p w14:paraId="57F3C0FE" w14:textId="77777777" w:rsidR="00134CAA" w:rsidRPr="00FA12B5" w:rsidRDefault="00134CAA" w:rsidP="00134CAA">
      <w:pPr>
        <w:keepNext/>
        <w:keepLines/>
        <w:spacing w:after="0" w:line="240" w:lineRule="auto"/>
        <w:jc w:val="both"/>
        <w:rPr>
          <w:rFonts w:ascii="Times New Roman" w:eastAsia="Times New Roman" w:hAnsi="Times New Roman"/>
          <w:sz w:val="24"/>
          <w:szCs w:val="20"/>
        </w:rPr>
      </w:pPr>
      <w:r>
        <w:rPr>
          <w:rFonts w:ascii="Times New Roman" w:hAnsi="Times New Roman"/>
          <w:sz w:val="24"/>
          <w:szCs w:val="20"/>
        </w:rPr>
        <w:t>SIGNATURES</w:t>
      </w:r>
    </w:p>
    <w:p w14:paraId="3D3FAE75" w14:textId="77777777" w:rsidR="00134CAA" w:rsidRPr="00FA12B5" w:rsidRDefault="00134CAA" w:rsidP="00134CAA">
      <w:pPr>
        <w:keepNext/>
        <w:keepLines/>
        <w:spacing w:after="240" w:line="240" w:lineRule="auto"/>
        <w:jc w:val="both"/>
        <w:rPr>
          <w:rFonts w:ascii="Times New Roman" w:eastAsia="Times New Roman" w:hAnsi="Times New Roman"/>
          <w:i/>
          <w:sz w:val="24"/>
          <w:szCs w:val="20"/>
        </w:rPr>
      </w:pPr>
      <w:r>
        <w:tab/>
        <w:t xml:space="preserve"> </w:t>
      </w:r>
      <w:r>
        <w:br/>
      </w:r>
    </w:p>
    <w:p w14:paraId="4F14A4B5" w14:textId="0A4791AE" w:rsidR="00134CAA" w:rsidRDefault="00134CAA" w:rsidP="00134CAA">
      <w:pPr>
        <w:keepNext/>
        <w:keepLines/>
        <w:spacing w:after="240" w:line="240" w:lineRule="auto"/>
        <w:rPr>
          <w:rFonts w:ascii="Times New Roman" w:eastAsia="Times New Roman" w:hAnsi="Times New Roman"/>
          <w:sz w:val="24"/>
          <w:szCs w:val="20"/>
        </w:rPr>
      </w:pPr>
      <w:r>
        <w:tab/>
        <w:t xml:space="preserve"> </w:t>
      </w:r>
      <w:r>
        <w:br/>
      </w:r>
      <w:r>
        <w:rPr>
          <w:rFonts w:ascii="Times New Roman" w:hAnsi="Times New Roman"/>
          <w:sz w:val="24"/>
          <w:szCs w:val="20"/>
        </w:rPr>
        <w:t>Pour le bénéficiaire/coordinateur</w:t>
      </w:r>
      <w:r>
        <w:tab/>
      </w:r>
      <w:r>
        <w:tab/>
      </w:r>
      <w:r>
        <w:tab/>
      </w:r>
      <w:r>
        <w:rPr>
          <w:rFonts w:ascii="Times New Roman" w:hAnsi="Times New Roman"/>
          <w:sz w:val="24"/>
          <w:szCs w:val="20"/>
        </w:rPr>
        <w:t xml:space="preserve">                         Pour l’Agence</w:t>
      </w:r>
      <w:r>
        <w:t xml:space="preserve"> </w:t>
      </w:r>
      <w:r>
        <w:br/>
      </w:r>
      <w:r>
        <w:rPr>
          <w:rFonts w:ascii="Times New Roman" w:hAnsi="Times New Roman"/>
          <w:sz w:val="24"/>
          <w:szCs w:val="20"/>
          <w:highlight w:val="lightGray"/>
        </w:rPr>
        <w:t>[</w:t>
      </w:r>
      <w:r>
        <w:rPr>
          <w:rFonts w:ascii="Times New Roman" w:hAnsi="Times New Roman"/>
          <w:i/>
          <w:sz w:val="24"/>
          <w:szCs w:val="20"/>
          <w:highlight w:val="lightGray"/>
        </w:rPr>
        <w:t>fonction</w:t>
      </w:r>
      <w:r>
        <w:rPr>
          <w:rFonts w:ascii="Times New Roman" w:hAnsi="Times New Roman"/>
          <w:sz w:val="24"/>
          <w:szCs w:val="20"/>
          <w:highlight w:val="lightGray"/>
        </w:rPr>
        <w:t>/prénom/nom</w:t>
      </w:r>
      <w:r>
        <w:rPr>
          <w:rFonts w:ascii="Times New Roman" w:hAnsi="Times New Roman"/>
          <w:sz w:val="24"/>
          <w:szCs w:val="20"/>
        </w:rPr>
        <w:t>]</w:t>
      </w:r>
      <w:r>
        <w:tab/>
      </w:r>
      <w:r>
        <w:tab/>
      </w:r>
      <w:r>
        <w:rPr>
          <w:rFonts w:ascii="Times New Roman" w:hAnsi="Times New Roman"/>
          <w:sz w:val="24"/>
          <w:szCs w:val="20"/>
        </w:rPr>
        <w:t xml:space="preserve"> </w:t>
      </w:r>
      <w:r>
        <w:tab/>
      </w:r>
      <w:r>
        <w:tab/>
      </w:r>
      <w:r>
        <w:rPr>
          <w:rFonts w:ascii="Times New Roman" w:hAnsi="Times New Roman"/>
          <w:sz w:val="24"/>
          <w:szCs w:val="20"/>
        </w:rPr>
        <w:t>[</w:t>
      </w:r>
      <w:r>
        <w:rPr>
          <w:rFonts w:ascii="Times New Roman" w:hAnsi="Times New Roman"/>
          <w:sz w:val="24"/>
          <w:szCs w:val="20"/>
          <w:highlight w:val="lightGray"/>
        </w:rPr>
        <w:t>prénom/nom]</w:t>
      </w:r>
    </w:p>
    <w:p w14:paraId="76AC6825" w14:textId="77777777" w:rsidR="00134CAA" w:rsidRPr="00FA12B5" w:rsidRDefault="00134CAA" w:rsidP="00134CAA">
      <w:pPr>
        <w:keepNext/>
        <w:keepLines/>
        <w:spacing w:after="240" w:line="240" w:lineRule="auto"/>
        <w:rPr>
          <w:rFonts w:ascii="Times New Roman" w:eastAsia="Times New Roman" w:hAnsi="Times New Roman"/>
          <w:sz w:val="24"/>
          <w:szCs w:val="20"/>
        </w:rPr>
      </w:pPr>
    </w:p>
    <w:p w14:paraId="65FF844D" w14:textId="77777777" w:rsidR="00134CAA" w:rsidRPr="00FA12B5" w:rsidRDefault="00134CAA" w:rsidP="00134CAA">
      <w:pPr>
        <w:keepNext/>
        <w:keepLines/>
        <w:tabs>
          <w:tab w:val="left" w:pos="5103"/>
        </w:tabs>
        <w:spacing w:before="480" w:after="0" w:line="240" w:lineRule="auto"/>
        <w:rPr>
          <w:rFonts w:ascii="Times New Roman" w:eastAsia="Times New Roman" w:hAnsi="Times New Roman"/>
          <w:sz w:val="24"/>
          <w:szCs w:val="20"/>
        </w:rPr>
      </w:pPr>
      <w:r>
        <w:rPr>
          <w:rFonts w:ascii="Times New Roman" w:hAnsi="Times New Roman"/>
          <w:sz w:val="24"/>
          <w:szCs w:val="20"/>
        </w:rPr>
        <w:t>[</w:t>
      </w:r>
      <w:r>
        <w:rPr>
          <w:rFonts w:ascii="Times New Roman" w:hAnsi="Times New Roman"/>
          <w:sz w:val="24"/>
          <w:szCs w:val="20"/>
          <w:highlight w:val="lightGray"/>
        </w:rPr>
        <w:t>signature</w:t>
      </w:r>
      <w:r>
        <w:rPr>
          <w:rFonts w:ascii="Times New Roman" w:hAnsi="Times New Roman"/>
          <w:sz w:val="24"/>
          <w:szCs w:val="20"/>
        </w:rPr>
        <w:t>]</w:t>
      </w:r>
      <w:r>
        <w:tab/>
      </w:r>
      <w:r>
        <w:rPr>
          <w:rFonts w:ascii="Times New Roman" w:hAnsi="Times New Roman"/>
          <w:sz w:val="24"/>
          <w:szCs w:val="20"/>
        </w:rPr>
        <w:t>[</w:t>
      </w:r>
      <w:r>
        <w:rPr>
          <w:rFonts w:ascii="Times New Roman" w:hAnsi="Times New Roman"/>
          <w:sz w:val="24"/>
          <w:szCs w:val="20"/>
          <w:highlight w:val="lightGray"/>
        </w:rPr>
        <w:t>signature]</w:t>
      </w:r>
      <w:r>
        <w:t xml:space="preserve"> </w:t>
      </w:r>
      <w:r>
        <w:br/>
      </w:r>
      <w:r>
        <w:rPr>
          <w:rFonts w:ascii="Times New Roman" w:hAnsi="Times New Roman"/>
          <w:sz w:val="24"/>
          <w:szCs w:val="20"/>
        </w:rPr>
        <w:t>Fait à [</w:t>
      </w:r>
      <w:r>
        <w:rPr>
          <w:rFonts w:ascii="Times New Roman" w:hAnsi="Times New Roman"/>
          <w:sz w:val="24"/>
          <w:szCs w:val="20"/>
          <w:highlight w:val="lightGray"/>
        </w:rPr>
        <w:t>lieu</w:t>
      </w:r>
      <w:r>
        <w:rPr>
          <w:rFonts w:ascii="Times New Roman" w:hAnsi="Times New Roman"/>
          <w:sz w:val="24"/>
          <w:szCs w:val="20"/>
        </w:rPr>
        <w:t>], le [</w:t>
      </w:r>
      <w:r>
        <w:rPr>
          <w:rFonts w:ascii="Times New Roman" w:hAnsi="Times New Roman"/>
          <w:sz w:val="24"/>
          <w:szCs w:val="20"/>
          <w:highlight w:val="lightGray"/>
        </w:rPr>
        <w:t>date</w:t>
      </w:r>
      <w:r>
        <w:rPr>
          <w:rFonts w:ascii="Times New Roman" w:hAnsi="Times New Roman"/>
          <w:sz w:val="24"/>
          <w:szCs w:val="20"/>
        </w:rPr>
        <w:t>]</w:t>
      </w:r>
      <w:r>
        <w:tab/>
      </w:r>
      <w:r>
        <w:rPr>
          <w:rFonts w:ascii="Times New Roman" w:hAnsi="Times New Roman"/>
          <w:sz w:val="24"/>
          <w:szCs w:val="20"/>
        </w:rPr>
        <w:t>Fait à [</w:t>
      </w:r>
      <w:r>
        <w:rPr>
          <w:rFonts w:ascii="Times New Roman" w:hAnsi="Times New Roman"/>
          <w:sz w:val="24"/>
          <w:szCs w:val="20"/>
          <w:highlight w:val="lightGray"/>
        </w:rPr>
        <w:t>lieu</w:t>
      </w:r>
      <w:r>
        <w:rPr>
          <w:rFonts w:ascii="Times New Roman" w:hAnsi="Times New Roman"/>
          <w:sz w:val="24"/>
          <w:szCs w:val="20"/>
        </w:rPr>
        <w:t>], le [</w:t>
      </w:r>
      <w:r>
        <w:rPr>
          <w:rFonts w:ascii="Times New Roman" w:hAnsi="Times New Roman"/>
          <w:sz w:val="24"/>
          <w:szCs w:val="20"/>
          <w:highlight w:val="lightGray"/>
        </w:rPr>
        <w:t>date</w:t>
      </w:r>
      <w:r>
        <w:rPr>
          <w:rFonts w:ascii="Times New Roman" w:hAnsi="Times New Roman"/>
          <w:sz w:val="24"/>
          <w:szCs w:val="20"/>
        </w:rPr>
        <w:t>]</w:t>
      </w:r>
    </w:p>
    <w:p w14:paraId="3C86600E" w14:textId="77777777" w:rsidR="005A685A" w:rsidRPr="008D04AA" w:rsidRDefault="005A685A" w:rsidP="005A685A">
      <w:pPr>
        <w:rPr>
          <w:rFonts w:ascii="Times New Roman" w:hAnsi="Times New Roman" w:cs="Times New Roman"/>
          <w:sz w:val="24"/>
          <w:szCs w:val="24"/>
          <w:lang w:val="fr-BE"/>
        </w:rPr>
      </w:pPr>
    </w:p>
    <w:sectPr w:rsidR="005A685A" w:rsidRPr="008D04AA" w:rsidSect="005A15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4544360"/>
    <w:multiLevelType w:val="hybridMultilevel"/>
    <w:tmpl w:val="2C6ECD3A"/>
    <w:lvl w:ilvl="0" w:tplc="5242402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11CBA"/>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2" w15:restartNumberingAfterBreak="0">
    <w:nsid w:val="27120F3D"/>
    <w:multiLevelType w:val="hybridMultilevel"/>
    <w:tmpl w:val="B284F776"/>
    <w:lvl w:ilvl="0" w:tplc="8CD686D4">
      <w:numFmt w:val="bullet"/>
      <w:lvlText w:val="-"/>
      <w:lvlJc w:val="left"/>
      <w:pPr>
        <w:ind w:left="1363" w:hanging="360"/>
      </w:pPr>
      <w:rPr>
        <w:rFonts w:ascii="Calibri" w:eastAsia="Times New Roman" w:hAnsi="Calibri" w:cs="Calibri"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3"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284EC3"/>
    <w:multiLevelType w:val="hybridMultilevel"/>
    <w:tmpl w:val="84ECE1D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358D2F7E"/>
    <w:multiLevelType w:val="hybridMultilevel"/>
    <w:tmpl w:val="8E6AE918"/>
    <w:lvl w:ilvl="0" w:tplc="EBE2CBDE">
      <w:numFmt w:val="bullet"/>
      <w:lvlText w:val="-"/>
      <w:lvlJc w:val="left"/>
      <w:pPr>
        <w:ind w:left="720" w:hanging="360"/>
      </w:pPr>
      <w:rPr>
        <w:rFonts w:ascii="Times New Roman" w:eastAsia="Calibr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5E954440"/>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2A64391"/>
    <w:multiLevelType w:val="hybridMultilevel"/>
    <w:tmpl w:val="984E85C6"/>
    <w:lvl w:ilvl="0" w:tplc="B0FE8A0C">
      <w:start w:val="1"/>
      <w:numFmt w:val="upperLetter"/>
      <w:lvlText w:val="%1."/>
      <w:lvlJc w:val="left"/>
      <w:pPr>
        <w:ind w:left="6031"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22" w15:restartNumberingAfterBreak="0">
    <w:nsid w:val="7E4D1D2D"/>
    <w:multiLevelType w:val="hybridMultilevel"/>
    <w:tmpl w:val="49BC45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19"/>
  </w:num>
  <w:num w:numId="7">
    <w:abstractNumId w:val="4"/>
  </w:num>
  <w:num w:numId="8">
    <w:abstractNumId w:val="16"/>
  </w:num>
  <w:num w:numId="9">
    <w:abstractNumId w:val="13"/>
  </w:num>
  <w:num w:numId="10">
    <w:abstractNumId w:val="14"/>
  </w:num>
  <w:num w:numId="11">
    <w:abstractNumId w:val="8"/>
  </w:num>
  <w:num w:numId="12">
    <w:abstractNumId w:val="12"/>
  </w:num>
  <w:num w:numId="13">
    <w:abstractNumId w:val="5"/>
  </w:num>
  <w:num w:numId="14">
    <w:abstractNumId w:val="7"/>
  </w:num>
  <w:num w:numId="15">
    <w:abstractNumId w:val="17"/>
  </w:num>
  <w:num w:numId="16">
    <w:abstractNumId w:val="9"/>
  </w:num>
  <w:num w:numId="17">
    <w:abstractNumId w:val="18"/>
  </w:num>
  <w:num w:numId="18">
    <w:abstractNumId w:val="11"/>
  </w:num>
  <w:num w:numId="19">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0"/>
  </w:num>
  <w:num w:numId="21">
    <w:abstractNumId w:val="20"/>
  </w:num>
  <w:num w:numId="22">
    <w:abstractNumId w:val="15"/>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w:rsids>
    <w:rsidRoot w:val="005A685A"/>
    <w:rsid w:val="00091FA2"/>
    <w:rsid w:val="000C4517"/>
    <w:rsid w:val="000D2699"/>
    <w:rsid w:val="000F0D38"/>
    <w:rsid w:val="00116986"/>
    <w:rsid w:val="00134CAA"/>
    <w:rsid w:val="0015200B"/>
    <w:rsid w:val="001D3525"/>
    <w:rsid w:val="001E65B6"/>
    <w:rsid w:val="002A3654"/>
    <w:rsid w:val="002A38E4"/>
    <w:rsid w:val="002D5360"/>
    <w:rsid w:val="002E795B"/>
    <w:rsid w:val="00347AC4"/>
    <w:rsid w:val="003819C3"/>
    <w:rsid w:val="00391A95"/>
    <w:rsid w:val="00421639"/>
    <w:rsid w:val="004614CD"/>
    <w:rsid w:val="00462301"/>
    <w:rsid w:val="004E349D"/>
    <w:rsid w:val="00565E12"/>
    <w:rsid w:val="005820C2"/>
    <w:rsid w:val="00585C03"/>
    <w:rsid w:val="005A1504"/>
    <w:rsid w:val="005A685A"/>
    <w:rsid w:val="005D1348"/>
    <w:rsid w:val="00614935"/>
    <w:rsid w:val="006703D1"/>
    <w:rsid w:val="00685B11"/>
    <w:rsid w:val="00695F5A"/>
    <w:rsid w:val="00696706"/>
    <w:rsid w:val="006B4372"/>
    <w:rsid w:val="006B6E6F"/>
    <w:rsid w:val="006C1E6D"/>
    <w:rsid w:val="006F480F"/>
    <w:rsid w:val="00704F41"/>
    <w:rsid w:val="00710A72"/>
    <w:rsid w:val="00717E4C"/>
    <w:rsid w:val="007729E0"/>
    <w:rsid w:val="0078379A"/>
    <w:rsid w:val="00807B66"/>
    <w:rsid w:val="00810081"/>
    <w:rsid w:val="0082237C"/>
    <w:rsid w:val="00864E90"/>
    <w:rsid w:val="008A2412"/>
    <w:rsid w:val="008A3403"/>
    <w:rsid w:val="008A65E3"/>
    <w:rsid w:val="008B747C"/>
    <w:rsid w:val="008C5FD8"/>
    <w:rsid w:val="008C6E5E"/>
    <w:rsid w:val="008C7B68"/>
    <w:rsid w:val="008D04AA"/>
    <w:rsid w:val="008D6E2B"/>
    <w:rsid w:val="008E7B8A"/>
    <w:rsid w:val="008F0491"/>
    <w:rsid w:val="0091714D"/>
    <w:rsid w:val="00923ECE"/>
    <w:rsid w:val="009539C2"/>
    <w:rsid w:val="00983844"/>
    <w:rsid w:val="009C7C54"/>
    <w:rsid w:val="009E0DEB"/>
    <w:rsid w:val="009E7806"/>
    <w:rsid w:val="00A50106"/>
    <w:rsid w:val="00AA1964"/>
    <w:rsid w:val="00AE499F"/>
    <w:rsid w:val="00B71947"/>
    <w:rsid w:val="00BA02AB"/>
    <w:rsid w:val="00BA0C05"/>
    <w:rsid w:val="00BE3CD0"/>
    <w:rsid w:val="00BE4073"/>
    <w:rsid w:val="00C05324"/>
    <w:rsid w:val="00C120D7"/>
    <w:rsid w:val="00C47E29"/>
    <w:rsid w:val="00CA2015"/>
    <w:rsid w:val="00CD2576"/>
    <w:rsid w:val="00D40186"/>
    <w:rsid w:val="00D879AA"/>
    <w:rsid w:val="00DA1905"/>
    <w:rsid w:val="00E07B65"/>
    <w:rsid w:val="00E25758"/>
    <w:rsid w:val="00E36987"/>
    <w:rsid w:val="00E4248F"/>
    <w:rsid w:val="00E441CC"/>
    <w:rsid w:val="00E66B69"/>
    <w:rsid w:val="00E87661"/>
    <w:rsid w:val="00E94E56"/>
    <w:rsid w:val="00EA1A7D"/>
    <w:rsid w:val="00ED4A61"/>
    <w:rsid w:val="00F05964"/>
    <w:rsid w:val="00F1359D"/>
    <w:rsid w:val="00F1436C"/>
    <w:rsid w:val="00F366E9"/>
    <w:rsid w:val="00F45C1E"/>
    <w:rsid w:val="00F60F5E"/>
    <w:rsid w:val="00F76736"/>
    <w:rsid w:val="00F82F66"/>
    <w:rsid w:val="00F90AD1"/>
    <w:rsid w:val="00F92974"/>
    <w:rsid w:val="00FA09E9"/>
    <w:rsid w:val="00FD7918"/>
    <w:rsid w:val="08ACFB2D"/>
    <w:rsid w:val="13F750F9"/>
    <w:rsid w:val="1706D3DE"/>
    <w:rsid w:val="28658B9B"/>
    <w:rsid w:val="314A9C81"/>
    <w:rsid w:val="422F16A0"/>
    <w:rsid w:val="59689BC7"/>
    <w:rsid w:val="5C45F889"/>
    <w:rsid w:val="654027CC"/>
    <w:rsid w:val="676D6DEF"/>
    <w:rsid w:val="6A7A2613"/>
    <w:rsid w:val="6D66C8EE"/>
    <w:rsid w:val="78E81A2D"/>
    <w:rsid w:val="7A7FC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A2D2"/>
  <w15:chartTrackingRefBased/>
  <w15:docId w15:val="{6884453C-210C-4F3B-BF6D-3AE8D28D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810081"/>
    <w:pPr>
      <w:keepNext/>
      <w:spacing w:before="240" w:after="60" w:line="240" w:lineRule="auto"/>
      <w:jc w:val="both"/>
      <w:outlineLvl w:val="1"/>
    </w:pPr>
    <w:rPr>
      <w:rFonts w:ascii="Times New Roman" w:eastAsia="Times New Roman" w:hAnsi="Times New Roman"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A685A"/>
    <w:pPr>
      <w:suppressAutoHyphens/>
      <w:spacing w:after="240" w:line="100" w:lineRule="atLeast"/>
      <w:jc w:val="both"/>
    </w:pPr>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5A685A"/>
    <w:pPr>
      <w:suppressAutoHyphens/>
      <w:spacing w:after="0" w:line="100" w:lineRule="atLeast"/>
      <w:ind w:left="720"/>
    </w:pPr>
    <w:rPr>
      <w:rFonts w:ascii="Calibri" w:eastAsia="SimSun" w:hAnsi="Calibri" w:cs="Calibri"/>
      <w:lang w:eastAsia="ar-SA"/>
    </w:rPr>
  </w:style>
  <w:style w:type="paragraph" w:styleId="NormalWeb">
    <w:name w:val="Normal (Web)"/>
    <w:basedOn w:val="Normal"/>
    <w:uiPriority w:val="99"/>
    <w:semiHidden/>
    <w:unhideWhenUsed/>
    <w:rsid w:val="00E257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5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58"/>
    <w:rPr>
      <w:rFonts w:ascii="Segoe UI" w:hAnsi="Segoe UI" w:cs="Segoe UI"/>
      <w:sz w:val="18"/>
      <w:szCs w:val="18"/>
    </w:rPr>
  </w:style>
  <w:style w:type="character" w:styleId="CommentReference">
    <w:name w:val="annotation reference"/>
    <w:basedOn w:val="DefaultParagraphFont"/>
    <w:uiPriority w:val="99"/>
    <w:semiHidden/>
    <w:unhideWhenUsed/>
    <w:rsid w:val="00E25758"/>
    <w:rPr>
      <w:sz w:val="16"/>
      <w:szCs w:val="16"/>
    </w:rPr>
  </w:style>
  <w:style w:type="paragraph" w:styleId="CommentText">
    <w:name w:val="annotation text"/>
    <w:basedOn w:val="Normal"/>
    <w:link w:val="CommentTextChar"/>
    <w:uiPriority w:val="99"/>
    <w:semiHidden/>
    <w:unhideWhenUsed/>
    <w:rsid w:val="00E25758"/>
    <w:pPr>
      <w:spacing w:line="240" w:lineRule="auto"/>
    </w:pPr>
    <w:rPr>
      <w:sz w:val="20"/>
      <w:szCs w:val="20"/>
    </w:rPr>
  </w:style>
  <w:style w:type="character" w:customStyle="1" w:styleId="CommentTextChar">
    <w:name w:val="Comment Text Char"/>
    <w:basedOn w:val="DefaultParagraphFont"/>
    <w:link w:val="CommentText"/>
    <w:uiPriority w:val="99"/>
    <w:semiHidden/>
    <w:rsid w:val="00E25758"/>
    <w:rPr>
      <w:sz w:val="20"/>
      <w:szCs w:val="20"/>
    </w:rPr>
  </w:style>
  <w:style w:type="paragraph" w:styleId="CommentSubject">
    <w:name w:val="annotation subject"/>
    <w:basedOn w:val="CommentText"/>
    <w:next w:val="CommentText"/>
    <w:link w:val="CommentSubjectChar"/>
    <w:uiPriority w:val="99"/>
    <w:semiHidden/>
    <w:unhideWhenUsed/>
    <w:rsid w:val="00E25758"/>
    <w:rPr>
      <w:b/>
      <w:bCs/>
    </w:rPr>
  </w:style>
  <w:style w:type="character" w:customStyle="1" w:styleId="CommentSubjectChar">
    <w:name w:val="Comment Subject Char"/>
    <w:basedOn w:val="CommentTextChar"/>
    <w:link w:val="CommentSubject"/>
    <w:uiPriority w:val="99"/>
    <w:semiHidden/>
    <w:rsid w:val="00E25758"/>
    <w:rPr>
      <w:b/>
      <w:bCs/>
      <w:sz w:val="20"/>
      <w:szCs w:val="20"/>
    </w:rPr>
  </w:style>
  <w:style w:type="paragraph" w:customStyle="1" w:styleId="articletitle">
    <w:name w:val="article title"/>
    <w:basedOn w:val="Normal"/>
    <w:qFormat/>
    <w:rsid w:val="00EA1A7D"/>
    <w:pPr>
      <w:numPr>
        <w:numId w:val="19"/>
      </w:numPr>
      <w:suppressAutoHyphens/>
      <w:spacing w:after="200" w:line="276" w:lineRule="auto"/>
      <w:ind w:left="357" w:hanging="357"/>
    </w:pPr>
    <w:rPr>
      <w:rFonts w:ascii="Times New Roman" w:eastAsia="Calibri" w:hAnsi="Times New Roman" w:cs="Times New Roman"/>
      <w:b/>
      <w:sz w:val="24"/>
      <w:szCs w:val="24"/>
      <w:lang w:eastAsia="ar-SA"/>
    </w:rPr>
  </w:style>
  <w:style w:type="paragraph" w:customStyle="1" w:styleId="paragraph">
    <w:name w:val="paragraph"/>
    <w:basedOn w:val="Normal"/>
    <w:link w:val="paragraphChar"/>
    <w:qFormat/>
    <w:rsid w:val="00EA1A7D"/>
    <w:pPr>
      <w:numPr>
        <w:ilvl w:val="1"/>
        <w:numId w:val="19"/>
      </w:num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EA1A7D"/>
    <w:rPr>
      <w:rFonts w:ascii="Times New Roman" w:eastAsia="Times New Roman" w:hAnsi="Times New Roman" w:cs="Times New Roman"/>
      <w:snapToGrid w:val="0"/>
      <w:sz w:val="24"/>
      <w:szCs w:val="24"/>
      <w:lang w:val="fr-FR" w:eastAsia="en-GB"/>
    </w:rPr>
  </w:style>
  <w:style w:type="numbering" w:customStyle="1" w:styleId="PartI">
    <w:name w:val="Part I"/>
    <w:rsid w:val="00EA1A7D"/>
    <w:pPr>
      <w:numPr>
        <w:numId w:val="20"/>
      </w:numPr>
    </w:pPr>
  </w:style>
  <w:style w:type="character" w:customStyle="1" w:styleId="Heading2Char">
    <w:name w:val="Heading 2 Char"/>
    <w:basedOn w:val="DefaultParagraphFont"/>
    <w:link w:val="Heading2"/>
    <w:rsid w:val="00810081"/>
    <w:rPr>
      <w:rFonts w:ascii="Times New Roman" w:eastAsia="Times New Roman" w:hAnsi="Times New Roman" w:cs="Times New Roman"/>
      <w:b/>
      <w:bCs/>
      <w:i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50617">
      <w:bodyDiv w:val="1"/>
      <w:marLeft w:val="0"/>
      <w:marRight w:val="0"/>
      <w:marTop w:val="0"/>
      <w:marBottom w:val="0"/>
      <w:divBdr>
        <w:top w:val="none" w:sz="0" w:space="0" w:color="auto"/>
        <w:left w:val="none" w:sz="0" w:space="0" w:color="auto"/>
        <w:bottom w:val="none" w:sz="0" w:space="0" w:color="auto"/>
        <w:right w:val="none" w:sz="0" w:space="0" w:color="auto"/>
      </w:divBdr>
    </w:div>
    <w:div w:id="7981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06c4ec55-18a8-46a7-90ad-d65950971fb2" xsi:nil="true"/>
    <EC_Collab_Status xmlns="06c4ec55-18a8-46a7-90ad-d65950971fb2">Not Started</EC_Collab_Status>
    <EC_Collab_DocumentLanguage xmlns="06c4ec55-18a8-46a7-90ad-d65950971fb2">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A3D10FCD70A1B4D89E25A6CFD767620" ma:contentTypeVersion="8" ma:contentTypeDescription="Create a new document in this library." ma:contentTypeScope="" ma:versionID="1eb43855b963f74e945e3bf465265d94">
  <xsd:schema xmlns:xsd="http://www.w3.org/2001/XMLSchema" xmlns:xs="http://www.w3.org/2001/XMLSchema" xmlns:p="http://schemas.microsoft.com/office/2006/metadata/properties" xmlns:ns3="06c4ec55-18a8-46a7-90ad-d65950971fb2" targetNamespace="http://schemas.microsoft.com/office/2006/metadata/properties" ma:root="true" ma:fieldsID="00a5e4602cb25a3c42674261557c9cf4" ns3:_="">
    <xsd:import namespace="06c4ec55-18a8-46a7-90ad-d65950971fb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4ec55-18a8-46a7-90ad-d65950971fb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D78AEC-B65E-46D9-B97E-866546D9117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6c4ec55-18a8-46a7-90ad-d65950971fb2"/>
    <ds:schemaRef ds:uri="http://www.w3.org/XML/1998/namespace"/>
    <ds:schemaRef ds:uri="http://purl.org/dc/dcmitype/"/>
  </ds:schemaRefs>
</ds:datastoreItem>
</file>

<file path=customXml/itemProps2.xml><?xml version="1.0" encoding="utf-8"?>
<ds:datastoreItem xmlns:ds="http://schemas.openxmlformats.org/officeDocument/2006/customXml" ds:itemID="{5AC63AD1-D22C-461B-A2D6-9BB59B78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4ec55-18a8-46a7-90ad-d65950971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9DB1B-1BCC-45B9-95F5-52D0C533BA9D}">
  <ds:schemaRefs>
    <ds:schemaRef ds:uri="http://schemas.microsoft.com/sharepoint/v3/contenttype/forms"/>
  </ds:schemaRefs>
</ds:datastoreItem>
</file>

<file path=customXml/itemProps4.xml><?xml version="1.0" encoding="utf-8"?>
<ds:datastoreItem xmlns:ds="http://schemas.openxmlformats.org/officeDocument/2006/customXml" ds:itemID="{BB230678-A449-4A9B-B9A5-B680F241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5618</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SPASSOV Yassen (EAC-EXT)</dc:creator>
  <cp:keywords/>
  <dc:description/>
  <cp:lastModifiedBy>ZDRAHALOVA Lenka (EAC)</cp:lastModifiedBy>
  <cp:revision>2</cp:revision>
  <dcterms:created xsi:type="dcterms:W3CDTF">2021-08-31T14:48:00Z</dcterms:created>
  <dcterms:modified xsi:type="dcterms:W3CDTF">2021-08-31T14:48:00Z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0x010100258AA79CEB83498886A3A08681123250008A3D10FCD70A1B4D89E25A6CFD767620</vt:lpwstr>
  </property>
</Properties>
</file>