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993" w:hanging="426"/>
        <w:rPr>
          <w:rFonts w:ascii="Calibri" w:hAnsi="Calibri" w:cs="Calibri"/>
          <w:b/>
          <w:u w:val="single"/>
        </w:rPr>
      </w:pPr>
      <w:r>
        <w:rPr>
          <w:noProof/>
          <w:lang w:val="fr-BE" w:eastAsia="fr-BE"/>
        </w:rPr>
        <w:drawing>
          <wp:anchor distT="0" distB="0" distL="114300" distR="114300" simplePos="0" relativeHeight="251659264" behindDoc="1" locked="0" layoutInCell="1" allowOverlap="1">
            <wp:simplePos x="0" y="0"/>
            <wp:positionH relativeFrom="column">
              <wp:posOffset>3960495</wp:posOffset>
            </wp:positionH>
            <wp:positionV relativeFrom="paragraph">
              <wp:posOffset>-670560</wp:posOffset>
            </wp:positionV>
            <wp:extent cx="1800225" cy="885825"/>
            <wp:effectExtent l="0" t="0" r="9525" b="9525"/>
            <wp:wrapTight wrapText="bothSides">
              <wp:wrapPolygon edited="0">
                <wp:start x="0" y="0"/>
                <wp:lineTo x="0" y="21368"/>
                <wp:lineTo x="21486" y="21368"/>
                <wp:lineTo x="21486" y="0"/>
                <wp:lineTo x="0" y="0"/>
              </wp:wrapPolygon>
            </wp:wrapTight>
            <wp:docPr id="4" name="Image 1" descr="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t xml:space="preserve">                                                                </w:t>
      </w:r>
      <w:r>
        <w:rPr>
          <w:noProof/>
          <w:lang w:val="fr-BE" w:eastAsia="fr-BE"/>
        </w:rPr>
        <w:drawing>
          <wp:anchor distT="0" distB="0" distL="114300" distR="114300" simplePos="0" relativeHeight="251657216" behindDoc="0" locked="0" layoutInCell="1" allowOverlap="1">
            <wp:simplePos x="0" y="0"/>
            <wp:positionH relativeFrom="column">
              <wp:posOffset>-342900</wp:posOffset>
            </wp:positionH>
            <wp:positionV relativeFrom="paragraph">
              <wp:posOffset>-457200</wp:posOffset>
            </wp:positionV>
            <wp:extent cx="1619885" cy="486410"/>
            <wp:effectExtent l="0" t="0" r="0" b="8890"/>
            <wp:wrapThrough wrapText="bothSides">
              <wp:wrapPolygon edited="0">
                <wp:start x="0" y="0"/>
                <wp:lineTo x="0" y="21149"/>
                <wp:lineTo x="21338" y="21149"/>
                <wp:lineTo x="21338" y="0"/>
                <wp:lineTo x="0" y="0"/>
              </wp:wrapPolygon>
            </wp:wrapThrough>
            <wp:docPr id="3" name="Image 3" descr="http://www.emerald.ulg.ac.be/sites/default/files/Logo_Erasmus%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emerald.ulg.ac.be/sites/default/files/Logo_Erasmus%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885" cy="486410"/>
                    </a:xfrm>
                    <a:prstGeom prst="rect">
                      <a:avLst/>
                    </a:prstGeom>
                    <a:noFill/>
                  </pic:spPr>
                </pic:pic>
              </a:graphicData>
            </a:graphic>
            <wp14:sizeRelH relativeFrom="page">
              <wp14:pctWidth>0</wp14:pctWidth>
            </wp14:sizeRelH>
            <wp14:sizeRelV relativeFrom="page">
              <wp14:pctHeight>0</wp14:pctHeight>
            </wp14:sizeRelV>
          </wp:anchor>
        </w:drawing>
      </w:r>
    </w:p>
    <w:p>
      <w:pPr>
        <w:ind w:left="993" w:hanging="426"/>
        <w:rPr>
          <w:rFonts w:ascii="Calibri" w:hAnsi="Calibri" w:cs="Calibri"/>
          <w:b/>
          <w:u w:val="single"/>
        </w:rPr>
      </w:pPr>
    </w:p>
    <w:p>
      <w:pPr>
        <w:pBdr>
          <w:top w:val="single" w:sz="4" w:space="1" w:color="auto"/>
          <w:left w:val="single" w:sz="4" w:space="4" w:color="auto"/>
          <w:bottom w:val="single" w:sz="4" w:space="1" w:color="auto"/>
          <w:right w:val="single" w:sz="4" w:space="4" w:color="auto"/>
        </w:pBdr>
        <w:ind w:right="-426"/>
        <w:jc w:val="center"/>
        <w:rPr>
          <w:rFonts w:ascii="Calibri" w:hAnsi="Calibri" w:cs="Calibri"/>
          <w:b/>
          <w:sz w:val="28"/>
          <w:szCs w:val="28"/>
        </w:rPr>
      </w:pPr>
      <w:r>
        <w:rPr>
          <w:rFonts w:ascii="Calibri" w:hAnsi="Calibri" w:cs="Calibri"/>
          <w:b/>
          <w:sz w:val="28"/>
          <w:szCs w:val="28"/>
        </w:rPr>
        <w:t>Le processus de sélection des projets Erasmus + </w:t>
      </w:r>
      <w:bookmarkStart w:id="0" w:name="_GoBack"/>
      <w:bookmarkEnd w:id="0"/>
    </w:p>
    <w:p>
      <w:pPr>
        <w:ind w:left="993" w:right="-426" w:hanging="426"/>
        <w:rPr>
          <w:rFonts w:cs="Calibri"/>
          <w:b/>
        </w:rPr>
      </w:pPr>
    </w:p>
    <w:p>
      <w:pPr>
        <w:ind w:right="-426"/>
        <w:rPr>
          <w:rFonts w:ascii="Calibri" w:hAnsi="Calibri" w:cs="Calibri"/>
          <w:b/>
          <w:sz w:val="22"/>
          <w:szCs w:val="22"/>
        </w:rPr>
      </w:pPr>
      <w:r>
        <w:rPr>
          <w:rFonts w:ascii="Calibri" w:hAnsi="Calibri" w:cs="Calibri"/>
          <w:b/>
          <w:sz w:val="22"/>
          <w:szCs w:val="22"/>
        </w:rPr>
        <w:t xml:space="preserve">Le processus de sélection est établi sur base des principes et règles établis par la Commission européenne dans le </w:t>
      </w:r>
      <w:r>
        <w:rPr>
          <w:rFonts w:ascii="Calibri" w:hAnsi="Calibri" w:cs="Calibri"/>
          <w:b/>
          <w:i/>
          <w:sz w:val="22"/>
          <w:szCs w:val="22"/>
        </w:rPr>
        <w:t>Guide des Agences nationales.</w:t>
      </w:r>
    </w:p>
    <w:p>
      <w:pPr>
        <w:ind w:left="993" w:right="-426" w:hanging="426"/>
        <w:rPr>
          <w:rFonts w:ascii="Calibri" w:hAnsi="Calibri" w:cs="Calibri"/>
          <w:b/>
          <w:sz w:val="22"/>
          <w:szCs w:val="22"/>
        </w:rPr>
      </w:pPr>
    </w:p>
    <w:p>
      <w:pPr>
        <w:ind w:left="426" w:right="-426" w:hanging="426"/>
        <w:rPr>
          <w:rFonts w:ascii="Calibri" w:hAnsi="Calibri" w:cs="Calibri"/>
          <w:b/>
          <w:sz w:val="22"/>
          <w:szCs w:val="22"/>
          <w:u w:val="single"/>
        </w:rPr>
      </w:pPr>
      <w:r>
        <w:rPr>
          <w:rFonts w:ascii="Calibri" w:hAnsi="Calibri" w:cs="Calibri"/>
          <w:b/>
          <w:sz w:val="22"/>
          <w:szCs w:val="22"/>
        </w:rPr>
        <w:t>1/</w:t>
      </w:r>
      <w:r>
        <w:rPr>
          <w:rFonts w:ascii="Calibri" w:hAnsi="Calibri" w:cs="Calibri"/>
          <w:b/>
          <w:sz w:val="22"/>
          <w:szCs w:val="22"/>
          <w:u w:val="single"/>
        </w:rPr>
        <w:t xml:space="preserve"> Analyse de l’éligibilité des projets</w:t>
      </w:r>
    </w:p>
    <w:p>
      <w:pPr>
        <w:ind w:left="993" w:right="-426" w:hanging="426"/>
        <w:rPr>
          <w:rFonts w:ascii="Calibri" w:hAnsi="Calibri" w:cs="Calibri"/>
          <w:b/>
          <w:sz w:val="22"/>
          <w:szCs w:val="22"/>
          <w:u w:val="single"/>
        </w:rPr>
      </w:pPr>
    </w:p>
    <w:p>
      <w:pPr>
        <w:pStyle w:val="Paragraphedeliste"/>
        <w:numPr>
          <w:ilvl w:val="0"/>
          <w:numId w:val="2"/>
        </w:numPr>
        <w:spacing w:after="200" w:line="276" w:lineRule="auto"/>
        <w:ind w:right="-142"/>
        <w:rPr>
          <w:rFonts w:ascii="Calibri" w:hAnsi="Calibri" w:cs="Calibri"/>
          <w:sz w:val="22"/>
          <w:szCs w:val="22"/>
        </w:rPr>
      </w:pPr>
      <w:r>
        <w:rPr>
          <w:rFonts w:ascii="Calibri" w:hAnsi="Calibri" w:cs="Calibri"/>
          <w:sz w:val="22"/>
          <w:szCs w:val="22"/>
        </w:rPr>
        <w:t>L’analyse de l’éligibilité formelle des dossiers est effectuée par le BIJ sur base de  la liste de critères établie par la Commission européenne. Ces critères sont, par exemple,  la date de dépôt, le nombre de participants impliqués, la durée de l’activité, l’âge des participants..</w:t>
      </w:r>
    </w:p>
    <w:p>
      <w:pPr>
        <w:pStyle w:val="Paragraphedeliste"/>
        <w:numPr>
          <w:ilvl w:val="0"/>
          <w:numId w:val="2"/>
        </w:numPr>
        <w:spacing w:after="200" w:line="276" w:lineRule="auto"/>
        <w:ind w:right="-142"/>
        <w:rPr>
          <w:rFonts w:ascii="Calibri" w:hAnsi="Calibri" w:cs="Calibri"/>
          <w:sz w:val="22"/>
          <w:szCs w:val="22"/>
        </w:rPr>
      </w:pPr>
      <w:r>
        <w:rPr>
          <w:rFonts w:ascii="Calibri" w:hAnsi="Calibri" w:cs="Calibri"/>
          <w:sz w:val="22"/>
          <w:szCs w:val="22"/>
        </w:rPr>
        <w:t>Il en résulte une liste de dossiers dont la qualité peut être analysée.</w:t>
      </w:r>
    </w:p>
    <w:p>
      <w:pPr>
        <w:ind w:right="-142"/>
        <w:rPr>
          <w:rFonts w:ascii="Calibri" w:hAnsi="Calibri" w:cs="Calibri"/>
          <w:b/>
          <w:sz w:val="22"/>
          <w:szCs w:val="22"/>
          <w:u w:val="single"/>
        </w:rPr>
      </w:pPr>
      <w:r>
        <w:rPr>
          <w:rFonts w:ascii="Calibri" w:hAnsi="Calibri" w:cs="Calibri"/>
          <w:sz w:val="22"/>
          <w:szCs w:val="22"/>
        </w:rPr>
        <w:t xml:space="preserve">2/ </w:t>
      </w:r>
      <w:r>
        <w:rPr>
          <w:rFonts w:ascii="Calibri" w:hAnsi="Calibri" w:cs="Calibri"/>
          <w:b/>
          <w:sz w:val="22"/>
          <w:szCs w:val="22"/>
          <w:u w:val="single"/>
        </w:rPr>
        <w:t>Analyse qualitative des projets</w:t>
      </w:r>
    </w:p>
    <w:p>
      <w:pPr>
        <w:ind w:left="993" w:right="-142" w:hanging="426"/>
        <w:rPr>
          <w:rFonts w:ascii="Calibri" w:hAnsi="Calibri" w:cs="Calibri"/>
          <w:b/>
          <w:sz w:val="22"/>
          <w:szCs w:val="22"/>
          <w:u w:val="single"/>
        </w:rPr>
      </w:pPr>
    </w:p>
    <w:p>
      <w:pPr>
        <w:pStyle w:val="Paragraphedeliste"/>
        <w:numPr>
          <w:ilvl w:val="0"/>
          <w:numId w:val="3"/>
        </w:numPr>
        <w:spacing w:after="200" w:line="276" w:lineRule="auto"/>
        <w:ind w:right="-142"/>
        <w:jc w:val="both"/>
        <w:rPr>
          <w:rFonts w:ascii="Calibri" w:hAnsi="Calibri" w:cs="Calibri"/>
          <w:sz w:val="22"/>
          <w:szCs w:val="22"/>
        </w:rPr>
      </w:pPr>
      <w:r>
        <w:rPr>
          <w:rFonts w:ascii="Calibri" w:hAnsi="Calibri" w:cs="Calibri"/>
          <w:sz w:val="22"/>
          <w:szCs w:val="22"/>
        </w:rPr>
        <w:t xml:space="preserve">Cette  évaluation est effectuée sur base des critères de sélection et d’attribution des subventions publiées dans le  </w:t>
      </w:r>
      <w:r>
        <w:rPr>
          <w:rFonts w:ascii="Calibri" w:hAnsi="Calibri" w:cs="Calibri"/>
          <w:i/>
          <w:sz w:val="22"/>
          <w:szCs w:val="22"/>
        </w:rPr>
        <w:t>Guide du programme</w:t>
      </w:r>
      <w:r>
        <w:rPr>
          <w:rFonts w:ascii="Calibri" w:hAnsi="Calibri" w:cs="Calibri"/>
          <w:sz w:val="22"/>
          <w:szCs w:val="22"/>
        </w:rPr>
        <w:t xml:space="preserve"> de la Commission européenne ; </w:t>
      </w:r>
    </w:p>
    <w:p>
      <w:pPr>
        <w:pStyle w:val="Paragraphedeliste"/>
        <w:numPr>
          <w:ilvl w:val="0"/>
          <w:numId w:val="3"/>
        </w:numPr>
        <w:spacing w:after="200" w:line="276" w:lineRule="auto"/>
        <w:ind w:right="-142"/>
        <w:jc w:val="both"/>
        <w:rPr>
          <w:rFonts w:ascii="Calibri" w:hAnsi="Calibri" w:cs="Calibri"/>
          <w:sz w:val="22"/>
          <w:szCs w:val="22"/>
        </w:rPr>
      </w:pPr>
      <w:r>
        <w:rPr>
          <w:rFonts w:ascii="Calibri" w:hAnsi="Calibri" w:cs="Calibri"/>
          <w:sz w:val="22"/>
          <w:szCs w:val="22"/>
        </w:rPr>
        <w:t>Sauf cas exceptionnel, le BIJ recourt à des experts externes pour  l’évaluation qualitative des projets ;</w:t>
      </w:r>
    </w:p>
    <w:p>
      <w:pPr>
        <w:pStyle w:val="Paragraphedeliste"/>
        <w:numPr>
          <w:ilvl w:val="0"/>
          <w:numId w:val="3"/>
        </w:numPr>
        <w:spacing w:after="200" w:line="276" w:lineRule="auto"/>
        <w:ind w:right="-142"/>
        <w:jc w:val="both"/>
        <w:rPr>
          <w:rFonts w:ascii="Calibri" w:hAnsi="Calibri" w:cs="Calibri"/>
          <w:sz w:val="22"/>
          <w:szCs w:val="22"/>
        </w:rPr>
      </w:pPr>
      <w:r>
        <w:rPr>
          <w:rFonts w:ascii="Calibri" w:hAnsi="Calibri" w:cs="Calibri"/>
          <w:sz w:val="22"/>
          <w:szCs w:val="22"/>
        </w:rPr>
        <w:t xml:space="preserve">Selon les règles établies par la Commission européenne, l’analyse se fera par un ou deux experts externes ; </w:t>
      </w:r>
    </w:p>
    <w:p>
      <w:pPr>
        <w:pStyle w:val="Paragraphedeliste"/>
        <w:numPr>
          <w:ilvl w:val="0"/>
          <w:numId w:val="3"/>
        </w:numPr>
        <w:spacing w:after="200" w:line="276" w:lineRule="auto"/>
        <w:ind w:right="-142"/>
        <w:jc w:val="both"/>
        <w:rPr>
          <w:rFonts w:ascii="Calibri" w:hAnsi="Calibri" w:cs="Calibri"/>
          <w:sz w:val="22"/>
          <w:szCs w:val="22"/>
        </w:rPr>
      </w:pPr>
      <w:r>
        <w:rPr>
          <w:rFonts w:ascii="Calibri" w:hAnsi="Calibri" w:cs="Calibri"/>
          <w:sz w:val="22"/>
          <w:szCs w:val="22"/>
        </w:rPr>
        <w:t>Les experts sont nommés sur base de leur expérience dans le secteur de la jeunesse, les programmes de jeunesse, le domaine de l’éducation non formelle, l’analyse de projets…  L’absence de conflit d’intérêt avec les porteurs de projets entre aussi en ligne de compte pour leur nomination ;</w:t>
      </w:r>
    </w:p>
    <w:p>
      <w:pPr>
        <w:pStyle w:val="Paragraphedeliste"/>
        <w:numPr>
          <w:ilvl w:val="0"/>
          <w:numId w:val="3"/>
        </w:numPr>
        <w:spacing w:after="200" w:line="276" w:lineRule="auto"/>
        <w:ind w:right="-142"/>
        <w:jc w:val="both"/>
        <w:rPr>
          <w:rFonts w:ascii="Calibri" w:hAnsi="Calibri" w:cs="Calibri"/>
          <w:sz w:val="22"/>
          <w:szCs w:val="22"/>
        </w:rPr>
      </w:pPr>
      <w:r>
        <w:rPr>
          <w:rFonts w:ascii="Calibri" w:hAnsi="Calibri" w:cs="Calibri"/>
          <w:sz w:val="22"/>
          <w:szCs w:val="22"/>
        </w:rPr>
        <w:t>Les experts disposent d’un Guide des experts développé par la Commission européenne et soumettent leurs avis via un outil on-line développé par la Commission européenne ;</w:t>
      </w:r>
    </w:p>
    <w:p>
      <w:pPr>
        <w:pStyle w:val="Paragraphedeliste"/>
        <w:numPr>
          <w:ilvl w:val="0"/>
          <w:numId w:val="3"/>
        </w:numPr>
        <w:spacing w:after="200" w:line="276" w:lineRule="auto"/>
        <w:ind w:right="-142"/>
        <w:jc w:val="both"/>
        <w:rPr>
          <w:rFonts w:ascii="Calibri" w:hAnsi="Calibri" w:cs="Calibri"/>
          <w:sz w:val="22"/>
          <w:szCs w:val="22"/>
        </w:rPr>
      </w:pPr>
      <w:r>
        <w:rPr>
          <w:rFonts w:ascii="Calibri" w:hAnsi="Calibri" w:cs="Calibri"/>
          <w:sz w:val="22"/>
          <w:szCs w:val="22"/>
        </w:rPr>
        <w:t>Un système de consolidation des avis est prévu pour les projets analysés par deux experts ;</w:t>
      </w:r>
    </w:p>
    <w:p>
      <w:pPr>
        <w:pStyle w:val="Paragraphedeliste"/>
        <w:numPr>
          <w:ilvl w:val="0"/>
          <w:numId w:val="3"/>
        </w:numPr>
        <w:spacing w:after="200" w:line="276" w:lineRule="auto"/>
        <w:ind w:right="-142"/>
        <w:jc w:val="both"/>
        <w:rPr>
          <w:rFonts w:ascii="Calibri" w:hAnsi="Calibri" w:cs="Calibri"/>
          <w:sz w:val="22"/>
          <w:szCs w:val="22"/>
        </w:rPr>
      </w:pPr>
      <w:r>
        <w:rPr>
          <w:rFonts w:ascii="Calibri" w:hAnsi="Calibri" w:cs="Calibri"/>
          <w:sz w:val="22"/>
          <w:szCs w:val="22"/>
        </w:rPr>
        <w:t xml:space="preserve">Il résulte de ce processus d’analyse une liste de projets présentés par ordre de mérite (par action ou sous-action) </w:t>
      </w:r>
    </w:p>
    <w:p>
      <w:pPr>
        <w:ind w:right="-142"/>
        <w:jc w:val="both"/>
        <w:rPr>
          <w:rFonts w:ascii="Calibri" w:hAnsi="Calibri" w:cs="Calibri"/>
          <w:b/>
          <w:sz w:val="22"/>
          <w:szCs w:val="22"/>
          <w:u w:val="single"/>
        </w:rPr>
      </w:pPr>
      <w:r>
        <w:rPr>
          <w:rFonts w:ascii="Calibri" w:hAnsi="Calibri" w:cs="Calibri"/>
          <w:b/>
          <w:sz w:val="22"/>
          <w:szCs w:val="22"/>
        </w:rPr>
        <w:t xml:space="preserve">3/ </w:t>
      </w:r>
      <w:r>
        <w:rPr>
          <w:rFonts w:ascii="Calibri" w:hAnsi="Calibri" w:cs="Calibri"/>
          <w:b/>
          <w:sz w:val="22"/>
          <w:szCs w:val="22"/>
          <w:u w:val="single"/>
        </w:rPr>
        <w:t>Comité d’avis</w:t>
      </w:r>
    </w:p>
    <w:p>
      <w:pPr>
        <w:ind w:left="993" w:right="-142" w:hanging="426"/>
        <w:jc w:val="both"/>
        <w:rPr>
          <w:rFonts w:ascii="Calibri" w:hAnsi="Calibri" w:cs="Calibri"/>
          <w:b/>
          <w:sz w:val="22"/>
          <w:szCs w:val="22"/>
          <w:u w:val="single"/>
        </w:rPr>
      </w:pPr>
    </w:p>
    <w:p>
      <w:pPr>
        <w:pStyle w:val="Paragraphedeliste"/>
        <w:numPr>
          <w:ilvl w:val="0"/>
          <w:numId w:val="4"/>
        </w:numPr>
        <w:spacing w:after="200" w:line="276" w:lineRule="auto"/>
        <w:ind w:right="-142"/>
        <w:jc w:val="both"/>
        <w:rPr>
          <w:rFonts w:ascii="Calibri" w:hAnsi="Calibri" w:cs="Calibri"/>
          <w:sz w:val="22"/>
          <w:szCs w:val="22"/>
        </w:rPr>
      </w:pPr>
      <w:r>
        <w:rPr>
          <w:rFonts w:ascii="Calibri" w:hAnsi="Calibri" w:cs="Calibri"/>
          <w:sz w:val="22"/>
          <w:szCs w:val="22"/>
        </w:rPr>
        <w:t>L’organisation et la composition du  Comité d’avis du programme Erasmus+ découle du décret créant le BIJ (2007) ;</w:t>
      </w:r>
    </w:p>
    <w:p>
      <w:pPr>
        <w:pStyle w:val="Paragraphedeliste"/>
        <w:numPr>
          <w:ilvl w:val="0"/>
          <w:numId w:val="4"/>
        </w:numPr>
        <w:spacing w:after="200" w:line="276" w:lineRule="auto"/>
        <w:ind w:right="-142"/>
        <w:jc w:val="both"/>
        <w:rPr>
          <w:rFonts w:ascii="Calibri" w:hAnsi="Calibri" w:cs="Calibri"/>
          <w:sz w:val="22"/>
          <w:szCs w:val="22"/>
        </w:rPr>
      </w:pPr>
      <w:r>
        <w:rPr>
          <w:rFonts w:ascii="Calibri" w:hAnsi="Calibri" w:cs="Calibri"/>
          <w:sz w:val="22"/>
          <w:szCs w:val="22"/>
        </w:rPr>
        <w:t xml:space="preserve">Le Comité se compose de représentants de l’Administration et d’associations de jeunesse ; </w:t>
      </w:r>
    </w:p>
    <w:p>
      <w:pPr>
        <w:pStyle w:val="Paragraphedeliste"/>
        <w:numPr>
          <w:ilvl w:val="0"/>
          <w:numId w:val="4"/>
        </w:numPr>
        <w:spacing w:after="200" w:line="276" w:lineRule="auto"/>
        <w:ind w:right="-142"/>
        <w:jc w:val="both"/>
        <w:rPr>
          <w:rFonts w:ascii="Calibri" w:hAnsi="Calibri" w:cs="Calibri"/>
          <w:sz w:val="22"/>
          <w:szCs w:val="22"/>
        </w:rPr>
      </w:pPr>
      <w:r>
        <w:rPr>
          <w:rFonts w:ascii="Calibri" w:hAnsi="Calibri" w:cs="Calibri"/>
          <w:sz w:val="22"/>
          <w:szCs w:val="22"/>
        </w:rPr>
        <w:t xml:space="preserve">Le Comité est chargé </w:t>
      </w:r>
      <w:smartTag w:uri="urn:schemas-microsoft-com:office:smarttags" w:element="PersonName">
        <w:smartTagPr>
          <w:attr w:name="ProductID" w:val="de faire une"/>
        </w:smartTagPr>
        <w:r>
          <w:rPr>
            <w:rFonts w:ascii="Calibri" w:hAnsi="Calibri" w:cs="Calibri"/>
            <w:sz w:val="22"/>
            <w:szCs w:val="22"/>
          </w:rPr>
          <w:t>de faire une</w:t>
        </w:r>
      </w:smartTag>
      <w:r>
        <w:rPr>
          <w:rFonts w:ascii="Calibri" w:hAnsi="Calibri" w:cs="Calibri"/>
          <w:sz w:val="22"/>
          <w:szCs w:val="22"/>
        </w:rPr>
        <w:t xml:space="preserve"> proposition d’attribution des subventions sur base des évaluations des experts ;</w:t>
      </w:r>
    </w:p>
    <w:p>
      <w:pPr>
        <w:pStyle w:val="Paragraphedeliste"/>
        <w:numPr>
          <w:ilvl w:val="0"/>
          <w:numId w:val="4"/>
        </w:numPr>
        <w:spacing w:after="200" w:line="276" w:lineRule="auto"/>
        <w:ind w:right="-142"/>
        <w:jc w:val="both"/>
        <w:rPr>
          <w:rFonts w:ascii="Calibri" w:hAnsi="Calibri" w:cs="Calibri"/>
          <w:sz w:val="22"/>
          <w:szCs w:val="22"/>
        </w:rPr>
      </w:pPr>
      <w:r>
        <w:rPr>
          <w:rFonts w:ascii="Calibri" w:hAnsi="Calibri" w:cs="Calibri"/>
          <w:sz w:val="22"/>
          <w:szCs w:val="22"/>
        </w:rPr>
        <w:t xml:space="preserve">La proposition du Comité reprend le statut du projet (à soutenir, à rejeter ou éventuellement à mettre sur une liste d’attente) et un montant  </w:t>
      </w:r>
    </w:p>
    <w:p>
      <w:pPr>
        <w:ind w:right="-142"/>
        <w:jc w:val="both"/>
        <w:rPr>
          <w:rFonts w:ascii="Calibri" w:hAnsi="Calibri" w:cs="Calibri"/>
          <w:b/>
          <w:sz w:val="22"/>
          <w:szCs w:val="22"/>
        </w:rPr>
      </w:pPr>
      <w:r>
        <w:rPr>
          <w:rFonts w:ascii="Calibri" w:hAnsi="Calibri" w:cs="Calibri"/>
          <w:b/>
          <w:sz w:val="22"/>
          <w:szCs w:val="22"/>
        </w:rPr>
        <w:t>4/ Sélection définitive</w:t>
      </w:r>
    </w:p>
    <w:p>
      <w:pPr>
        <w:ind w:left="993" w:right="-142" w:hanging="426"/>
        <w:jc w:val="both"/>
        <w:rPr>
          <w:rFonts w:ascii="Calibri" w:hAnsi="Calibri" w:cs="Calibri"/>
          <w:b/>
          <w:sz w:val="22"/>
          <w:szCs w:val="22"/>
        </w:rPr>
      </w:pPr>
    </w:p>
    <w:p>
      <w:pPr>
        <w:pStyle w:val="Paragraphedeliste"/>
        <w:numPr>
          <w:ilvl w:val="0"/>
          <w:numId w:val="5"/>
        </w:numPr>
        <w:spacing w:after="200" w:line="276" w:lineRule="auto"/>
        <w:ind w:right="-142"/>
        <w:rPr>
          <w:rFonts w:ascii="Calibri" w:hAnsi="Calibri" w:cs="Calibri"/>
          <w:sz w:val="22"/>
          <w:szCs w:val="22"/>
        </w:rPr>
      </w:pPr>
      <w:r>
        <w:rPr>
          <w:rFonts w:ascii="Calibri" w:hAnsi="Calibri" w:cs="Calibri"/>
          <w:sz w:val="22"/>
          <w:szCs w:val="22"/>
        </w:rPr>
        <w:t>La direction du BIJ prend la décision finale</w:t>
      </w:r>
    </w:p>
    <w:p>
      <w:pPr>
        <w:pStyle w:val="Paragraphedeliste"/>
        <w:numPr>
          <w:ilvl w:val="0"/>
          <w:numId w:val="5"/>
        </w:numPr>
        <w:spacing w:after="200" w:line="276" w:lineRule="auto"/>
        <w:ind w:right="-142"/>
        <w:rPr>
          <w:rFonts w:ascii="Calibri" w:hAnsi="Calibri" w:cs="Calibri"/>
          <w:sz w:val="22"/>
          <w:szCs w:val="22"/>
        </w:rPr>
      </w:pPr>
      <w:r>
        <w:rPr>
          <w:rFonts w:ascii="Calibri" w:hAnsi="Calibri" w:cs="Calibri"/>
          <w:sz w:val="22"/>
          <w:szCs w:val="22"/>
        </w:rPr>
        <w:t>En cas d’avis contraire par rapport à la proposition du Comité d’avis, la décision doit être dûment justifiée</w:t>
      </w:r>
    </w:p>
    <w:sectPr>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1291"/>
    <w:multiLevelType w:val="hybridMultilevel"/>
    <w:tmpl w:val="0774335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0F613B"/>
    <w:multiLevelType w:val="hybridMultilevel"/>
    <w:tmpl w:val="BA76FB1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BA4FB8"/>
    <w:multiLevelType w:val="hybridMultilevel"/>
    <w:tmpl w:val="2D36C8B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4C1A74"/>
    <w:multiLevelType w:val="hybridMultilevel"/>
    <w:tmpl w:val="FD16DF4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454DC1"/>
    <w:multiLevelType w:val="hybridMultilevel"/>
    <w:tmpl w:val="182A69D2"/>
    <w:lvl w:ilvl="0" w:tplc="6F800286">
      <w:numFmt w:val="bullet"/>
      <w:lvlText w:val="-"/>
      <w:lvlJc w:val="left"/>
      <w:pPr>
        <w:ind w:left="720" w:hanging="360"/>
      </w:pPr>
      <w:rPr>
        <w:rFonts w:ascii="Book Antiqua" w:eastAsia="Times New Roman" w:hAnsi="Book Antiqu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15:docId w15:val="{D9A3BB4A-6430-4CA3-8123-F41604B0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demeut01</dc:creator>
  <cp:keywords/>
  <dc:description/>
  <cp:lastModifiedBy>DEMEUTER Anne</cp:lastModifiedBy>
  <cp:revision>2</cp:revision>
  <dcterms:created xsi:type="dcterms:W3CDTF">2021-06-03T06:58:00Z</dcterms:created>
  <dcterms:modified xsi:type="dcterms:W3CDTF">2021-06-03T06:58:00Z</dcterms:modified>
</cp:coreProperties>
</file>