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84" w:rsidRPr="00F36B64" w:rsidRDefault="00B5390F" w:rsidP="00796684">
      <w:pPr>
        <w:pStyle w:val="Guide-Heading3"/>
        <w:keepNext w:val="0"/>
        <w:jc w:val="center"/>
        <w:rPr>
          <w:rFonts w:ascii="Calibri Light" w:hAnsi="Calibri Light" w:cs="Calibri Light"/>
          <w:sz w:val="24"/>
          <w:szCs w:val="44"/>
        </w:rPr>
      </w:pPr>
      <w:r>
        <w:rPr>
          <w:rFonts w:asciiTheme="minorHAnsi" w:hAnsiTheme="minorHAnsi"/>
          <w:szCs w:val="28"/>
        </w:rPr>
        <w:t xml:space="preserve"> </w:t>
      </w:r>
      <w:bookmarkStart w:id="0" w:name="_Toc42670939"/>
      <w:bookmarkStart w:id="1" w:name="_Toc45275161"/>
      <w:r>
        <w:rPr>
          <w:rFonts w:ascii="Calibri Light" w:hAnsi="Calibri Light"/>
          <w:sz w:val="24"/>
          <w:szCs w:val="44"/>
        </w:rPr>
        <w:t>APPEL À DEMANDES D’ACCRÉDITATION – EAC/A</w:t>
      </w:r>
      <w:r w:rsidRPr="0063630B">
        <w:rPr>
          <w:rFonts w:ascii="Calibri Light" w:hAnsi="Calibri Light"/>
          <w:sz w:val="24"/>
          <w:szCs w:val="44"/>
        </w:rPr>
        <w:t>03</w:t>
      </w:r>
      <w:r>
        <w:rPr>
          <w:rFonts w:ascii="Calibri Light" w:hAnsi="Calibri Light"/>
          <w:sz w:val="24"/>
          <w:szCs w:val="44"/>
        </w:rPr>
        <w:t>/</w:t>
      </w:r>
      <w:r w:rsidRPr="0063630B">
        <w:rPr>
          <w:rFonts w:ascii="Calibri Light" w:hAnsi="Calibri Light"/>
          <w:sz w:val="24"/>
          <w:szCs w:val="44"/>
        </w:rPr>
        <w:t>2020</w:t>
      </w:r>
      <w:bookmarkEnd w:id="0"/>
      <w:bookmarkEnd w:id="1"/>
    </w:p>
    <w:p w:rsidR="00796684" w:rsidRPr="00BC1EF9" w:rsidRDefault="00796684" w:rsidP="00796684">
      <w:pPr>
        <w:pStyle w:val="Guide-Heading3"/>
        <w:keepNext w:val="0"/>
        <w:jc w:val="center"/>
        <w:rPr>
          <w:rFonts w:ascii="Calibri Light" w:hAnsi="Calibri Light" w:cs="Calibri Light"/>
          <w:sz w:val="32"/>
          <w:szCs w:val="32"/>
        </w:rPr>
      </w:pPr>
      <w:bookmarkStart w:id="2" w:name="_Toc42670940"/>
      <w:bookmarkStart w:id="3" w:name="_Toc45275162"/>
      <w:r>
        <w:rPr>
          <w:rFonts w:ascii="Calibri Light" w:hAnsi="Calibri Light"/>
          <w:sz w:val="32"/>
          <w:szCs w:val="32"/>
        </w:rPr>
        <w:t>Accréditation Erasmus dans le domaine de la jeunesse</w:t>
      </w:r>
      <w:bookmarkEnd w:id="2"/>
      <w:bookmarkEnd w:id="3"/>
    </w:p>
    <w:p w:rsidR="00796684" w:rsidRDefault="00796684" w:rsidP="00796684">
      <w:pPr>
        <w:pStyle w:val="Guide-Heading3"/>
        <w:keepNext w:val="0"/>
        <w:jc w:val="center"/>
        <w:rPr>
          <w:rFonts w:ascii="Calibri Light" w:hAnsi="Calibri Light" w:cs="Calibri Light"/>
          <w:sz w:val="32"/>
          <w:szCs w:val="32"/>
        </w:rPr>
      </w:pPr>
      <w:bookmarkStart w:id="4" w:name="_Toc42670941"/>
      <w:bookmarkStart w:id="5" w:name="_Toc45275163"/>
      <w:r>
        <w:rPr>
          <w:rFonts w:ascii="Calibri Light" w:hAnsi="Calibri Light"/>
          <w:sz w:val="32"/>
          <w:szCs w:val="32"/>
        </w:rPr>
        <w:t>Règles de prés</w:t>
      </w:r>
      <w:bookmarkStart w:id="6" w:name="_GoBack"/>
      <w:bookmarkEnd w:id="6"/>
      <w:r>
        <w:rPr>
          <w:rFonts w:ascii="Calibri Light" w:hAnsi="Calibri Light"/>
          <w:sz w:val="32"/>
          <w:szCs w:val="32"/>
        </w:rPr>
        <w:t>entation de la demande</w:t>
      </w:r>
      <w:bookmarkEnd w:id="4"/>
      <w:bookmarkEnd w:id="5"/>
    </w:p>
    <w:p w:rsidR="00A63B6C" w:rsidRPr="00BC1EF9" w:rsidRDefault="00A63B6C" w:rsidP="00796684">
      <w:pPr>
        <w:pStyle w:val="Guide-Heading3"/>
        <w:keepNext w:val="0"/>
        <w:jc w:val="center"/>
        <w:rPr>
          <w:rFonts w:ascii="Calibri Light" w:hAnsi="Calibri Light" w:cs="Calibri Light"/>
          <w:sz w:val="32"/>
          <w:szCs w:val="32"/>
        </w:rPr>
      </w:pPr>
    </w:p>
    <w:sdt>
      <w:sdtPr>
        <w:rPr>
          <w:color w:val="000000" w:themeColor="text1"/>
        </w:rPr>
        <w:id w:val="616643845"/>
        <w:docPartObj>
          <w:docPartGallery w:val="Table of Contents"/>
          <w:docPartUnique/>
        </w:docPartObj>
      </w:sdtPr>
      <w:sdtEndPr>
        <w:rPr>
          <w:rFonts w:asciiTheme="minorHAnsi" w:hAnsiTheme="minorHAnsi"/>
          <w:b/>
          <w:bCs/>
          <w:noProof/>
          <w:color w:val="auto"/>
        </w:rPr>
      </w:sdtEndPr>
      <w:sdtContent>
        <w:p w:rsidR="005545F6" w:rsidRDefault="004576EC" w:rsidP="00D3159B">
          <w:pPr>
            <w:pStyle w:val="TOC1"/>
            <w:rPr>
              <w:rFonts w:eastAsiaTheme="minorEastAsia" w:cstheme="minorBidi"/>
              <w:noProof/>
              <w:sz w:val="22"/>
              <w:szCs w:val="22"/>
              <w:lang w:val="en-US" w:eastAsia="en-US"/>
            </w:rPr>
          </w:pPr>
          <w:r>
            <w:rPr>
              <w:rFonts w:eastAsiaTheme="majorEastAsia" w:cstheme="majorBidi"/>
              <w:color w:val="365F91" w:themeColor="accent1" w:themeShade="BF"/>
              <w:sz w:val="32"/>
              <w:szCs w:val="32"/>
              <w:lang w:eastAsia="en-US"/>
            </w:rPr>
            <w:fldChar w:fldCharType="begin"/>
          </w:r>
          <w:r>
            <w:instrText xml:space="preserve"> TOC \o "1-3" \h \z \u </w:instrText>
          </w:r>
          <w:r>
            <w:rPr>
              <w:rFonts w:eastAsiaTheme="majorEastAsia" w:cstheme="majorBidi"/>
              <w:color w:val="365F91" w:themeColor="accent1" w:themeShade="BF"/>
              <w:sz w:val="32"/>
              <w:szCs w:val="32"/>
              <w:lang w:eastAsia="en-US"/>
            </w:rPr>
            <w:fldChar w:fldCharType="separate"/>
          </w:r>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64" w:history="1">
            <w:r w:rsidRPr="0063630B">
              <w:rPr>
                <w:rStyle w:val="Hyperlink"/>
                <w:rFonts w:ascii="Calibri Light" w:eastAsiaTheme="majorEastAsia" w:hAnsi="Calibri Light" w:cs="Calibri Light"/>
                <w:smallCaps/>
                <w:noProof/>
              </w:rPr>
              <w:t>1</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Introduction</w:t>
            </w:r>
            <w:r>
              <w:rPr>
                <w:noProof/>
                <w:webHidden/>
              </w:rPr>
              <w:tab/>
            </w:r>
            <w:r>
              <w:rPr>
                <w:noProof/>
                <w:webHidden/>
              </w:rPr>
              <w:fldChar w:fldCharType="begin"/>
            </w:r>
            <w:r>
              <w:rPr>
                <w:noProof/>
                <w:webHidden/>
              </w:rPr>
              <w:instrText xml:space="preserve"> PAGEREF _Toc45275164 \h </w:instrText>
            </w:r>
            <w:r>
              <w:rPr>
                <w:noProof/>
                <w:webHidden/>
              </w:rPr>
            </w:r>
            <w:r>
              <w:rPr>
                <w:noProof/>
                <w:webHidden/>
              </w:rPr>
              <w:fldChar w:fldCharType="separate"/>
            </w:r>
            <w:r w:rsidRPr="0063630B">
              <w:rPr>
                <w:noProof/>
                <w:webHidden/>
              </w:rPr>
              <w:t>3</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65" w:history="1">
            <w:r w:rsidRPr="0063630B">
              <w:rPr>
                <w:rStyle w:val="Hyperlink"/>
                <w:rFonts w:ascii="Calibri Light" w:eastAsiaTheme="majorEastAsia" w:hAnsi="Calibri Light" w:cs="Calibri Light"/>
                <w:noProof/>
              </w:rPr>
              <w:t>2</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Description</w:t>
            </w:r>
            <w:r>
              <w:rPr>
                <w:noProof/>
                <w:webHidden/>
              </w:rPr>
              <w:tab/>
            </w:r>
            <w:r>
              <w:rPr>
                <w:noProof/>
                <w:webHidden/>
              </w:rPr>
              <w:fldChar w:fldCharType="begin"/>
            </w:r>
            <w:r>
              <w:rPr>
                <w:noProof/>
                <w:webHidden/>
              </w:rPr>
              <w:instrText xml:space="preserve"> PAGEREF _Toc45275165 \h </w:instrText>
            </w:r>
            <w:r>
              <w:rPr>
                <w:noProof/>
                <w:webHidden/>
              </w:rPr>
            </w:r>
            <w:r>
              <w:rPr>
                <w:noProof/>
                <w:webHidden/>
              </w:rPr>
              <w:fldChar w:fldCharType="separate"/>
            </w:r>
            <w:r w:rsidRPr="0063630B">
              <w:rPr>
                <w:noProof/>
                <w:webHidden/>
              </w:rPr>
              <w:t>3</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66" w:history="1">
            <w:r w:rsidRPr="0063630B">
              <w:rPr>
                <w:rStyle w:val="Hyperlink"/>
                <w:rFonts w:ascii="Calibri Light" w:eastAsiaTheme="majorEastAsia" w:hAnsi="Calibri Light" w:cs="Calibri Light"/>
                <w:smallCaps/>
                <w:noProof/>
              </w:rPr>
              <w:t>3</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noProof/>
              </w:rPr>
              <w:t>O</w:t>
            </w:r>
            <w:r w:rsidRPr="009D443C">
              <w:rPr>
                <w:rStyle w:val="Hyperlink"/>
                <w:rFonts w:ascii="Calibri Light" w:hAnsi="Calibri Light"/>
                <w:smallCaps/>
                <w:noProof/>
              </w:rPr>
              <w:t>bjectifs</w:t>
            </w:r>
            <w:r>
              <w:rPr>
                <w:noProof/>
                <w:webHidden/>
              </w:rPr>
              <w:tab/>
            </w:r>
            <w:r>
              <w:rPr>
                <w:noProof/>
                <w:webHidden/>
              </w:rPr>
              <w:fldChar w:fldCharType="begin"/>
            </w:r>
            <w:r>
              <w:rPr>
                <w:noProof/>
                <w:webHidden/>
              </w:rPr>
              <w:instrText xml:space="preserve"> PAGEREF _Toc45275166 \h </w:instrText>
            </w:r>
            <w:r>
              <w:rPr>
                <w:noProof/>
                <w:webHidden/>
              </w:rPr>
            </w:r>
            <w:r>
              <w:rPr>
                <w:noProof/>
                <w:webHidden/>
              </w:rPr>
              <w:fldChar w:fldCharType="separate"/>
            </w:r>
            <w:r w:rsidRPr="0063630B">
              <w:rPr>
                <w:noProof/>
                <w:webHidden/>
              </w:rPr>
              <w:t>3</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68" w:history="1">
            <w:r w:rsidRPr="0063630B">
              <w:rPr>
                <w:rStyle w:val="Hyperlink"/>
                <w:rFonts w:ascii="Calibri Light" w:eastAsiaTheme="majorEastAsia" w:hAnsi="Calibri Light" w:cs="Calibri Light"/>
                <w:noProof/>
              </w:rPr>
              <w:t>4</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Critères d’éligibilité</w:t>
            </w:r>
            <w:r>
              <w:rPr>
                <w:noProof/>
                <w:webHidden/>
              </w:rPr>
              <w:tab/>
            </w:r>
            <w:r>
              <w:rPr>
                <w:noProof/>
                <w:webHidden/>
              </w:rPr>
              <w:fldChar w:fldCharType="begin"/>
            </w:r>
            <w:r>
              <w:rPr>
                <w:noProof/>
                <w:webHidden/>
              </w:rPr>
              <w:instrText xml:space="preserve"> PAGEREF _Toc45275168 \h </w:instrText>
            </w:r>
            <w:r>
              <w:rPr>
                <w:noProof/>
                <w:webHidden/>
              </w:rPr>
            </w:r>
            <w:r>
              <w:rPr>
                <w:noProof/>
                <w:webHidden/>
              </w:rPr>
              <w:fldChar w:fldCharType="separate"/>
            </w:r>
            <w:r w:rsidRPr="0063630B">
              <w:rPr>
                <w:noProof/>
                <w:webHidden/>
              </w:rPr>
              <w:t>4</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0" w:history="1">
            <w:r w:rsidRPr="0063630B">
              <w:rPr>
                <w:rStyle w:val="Hyperlink"/>
                <w:rFonts w:ascii="Calibri Light" w:eastAsiaTheme="majorEastAsia" w:hAnsi="Calibri Light" w:cs="Calibri Light"/>
                <w:noProof/>
              </w:rPr>
              <w:t>5</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Critères d’exclusion</w:t>
            </w:r>
            <w:r>
              <w:rPr>
                <w:noProof/>
                <w:webHidden/>
              </w:rPr>
              <w:tab/>
            </w:r>
            <w:r>
              <w:rPr>
                <w:noProof/>
                <w:webHidden/>
              </w:rPr>
              <w:fldChar w:fldCharType="begin"/>
            </w:r>
            <w:r>
              <w:rPr>
                <w:noProof/>
                <w:webHidden/>
              </w:rPr>
              <w:instrText xml:space="preserve"> PAGEREF _Toc45275170 \h </w:instrText>
            </w:r>
            <w:r>
              <w:rPr>
                <w:noProof/>
                <w:webHidden/>
              </w:rPr>
            </w:r>
            <w:r>
              <w:rPr>
                <w:noProof/>
                <w:webHidden/>
              </w:rPr>
              <w:fldChar w:fldCharType="separate"/>
            </w:r>
            <w:r w:rsidRPr="0063630B">
              <w:rPr>
                <w:noProof/>
                <w:webHidden/>
              </w:rPr>
              <w:t>4</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3" w:history="1">
            <w:r w:rsidRPr="0063630B">
              <w:rPr>
                <w:rStyle w:val="Hyperlink"/>
                <w:rFonts w:ascii="Calibri Light" w:eastAsiaTheme="majorEastAsia" w:hAnsi="Calibri Light" w:cs="Calibri Light"/>
                <w:smallCaps/>
                <w:noProof/>
              </w:rPr>
              <w:t>6</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Critères de sélection</w:t>
            </w:r>
            <w:r>
              <w:rPr>
                <w:noProof/>
                <w:webHidden/>
              </w:rPr>
              <w:tab/>
            </w:r>
            <w:r>
              <w:rPr>
                <w:noProof/>
                <w:webHidden/>
              </w:rPr>
              <w:fldChar w:fldCharType="begin"/>
            </w:r>
            <w:r>
              <w:rPr>
                <w:noProof/>
                <w:webHidden/>
              </w:rPr>
              <w:instrText xml:space="preserve"> PAGEREF _Toc45275173 \h </w:instrText>
            </w:r>
            <w:r>
              <w:rPr>
                <w:noProof/>
                <w:webHidden/>
              </w:rPr>
            </w:r>
            <w:r>
              <w:rPr>
                <w:noProof/>
                <w:webHidden/>
              </w:rPr>
              <w:fldChar w:fldCharType="separate"/>
            </w:r>
            <w:r w:rsidRPr="0063630B">
              <w:rPr>
                <w:noProof/>
                <w:webHidden/>
              </w:rPr>
              <w:t>4</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6" w:history="1">
            <w:r w:rsidRPr="0063630B">
              <w:rPr>
                <w:rStyle w:val="Hyperlink"/>
                <w:rFonts w:ascii="Calibri Light" w:eastAsiaTheme="majorEastAsia" w:hAnsi="Calibri Light" w:cs="Calibri Light"/>
                <w:noProof/>
              </w:rPr>
              <w:t>7</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Critères d’attribution</w:t>
            </w:r>
            <w:r>
              <w:rPr>
                <w:noProof/>
                <w:webHidden/>
              </w:rPr>
              <w:tab/>
            </w:r>
            <w:r>
              <w:rPr>
                <w:noProof/>
                <w:webHidden/>
              </w:rPr>
              <w:fldChar w:fldCharType="begin"/>
            </w:r>
            <w:r>
              <w:rPr>
                <w:noProof/>
                <w:webHidden/>
              </w:rPr>
              <w:instrText xml:space="preserve"> PAGEREF _Toc45275176 \h </w:instrText>
            </w:r>
            <w:r>
              <w:rPr>
                <w:noProof/>
                <w:webHidden/>
              </w:rPr>
            </w:r>
            <w:r>
              <w:rPr>
                <w:noProof/>
                <w:webHidden/>
              </w:rPr>
              <w:fldChar w:fldCharType="separate"/>
            </w:r>
            <w:r w:rsidRPr="0063630B">
              <w:rPr>
                <w:noProof/>
                <w:webHidden/>
              </w:rPr>
              <w:t>5</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7" w:history="1">
            <w:r w:rsidRPr="0063630B">
              <w:rPr>
                <w:rStyle w:val="Hyperlink"/>
                <w:rFonts w:ascii="Calibri Light" w:eastAsiaTheme="majorEastAsia" w:hAnsi="Calibri Light" w:cs="Calibri Light"/>
                <w:noProof/>
              </w:rPr>
              <w:t>8</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Attribution de l’accréditation Erasmus Jeunesse</w:t>
            </w:r>
            <w:r>
              <w:rPr>
                <w:noProof/>
                <w:webHidden/>
              </w:rPr>
              <w:tab/>
            </w:r>
            <w:r>
              <w:rPr>
                <w:noProof/>
                <w:webHidden/>
              </w:rPr>
              <w:fldChar w:fldCharType="begin"/>
            </w:r>
            <w:r>
              <w:rPr>
                <w:noProof/>
                <w:webHidden/>
              </w:rPr>
              <w:instrText xml:space="preserve"> PAGEREF _Toc45275177 \h </w:instrText>
            </w:r>
            <w:r>
              <w:rPr>
                <w:noProof/>
                <w:webHidden/>
              </w:rPr>
            </w:r>
            <w:r>
              <w:rPr>
                <w:noProof/>
                <w:webHidden/>
              </w:rPr>
              <w:fldChar w:fldCharType="separate"/>
            </w:r>
            <w:r w:rsidRPr="0063630B">
              <w:rPr>
                <w:noProof/>
                <w:webHidden/>
              </w:rPr>
              <w:t>6</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8" w:history="1">
            <w:r w:rsidRPr="0063630B">
              <w:rPr>
                <w:rStyle w:val="Hyperlink"/>
                <w:rFonts w:ascii="Calibri Light" w:eastAsiaTheme="majorEastAsia" w:hAnsi="Calibri Light" w:cs="Calibri Light"/>
                <w:smallCaps/>
                <w:noProof/>
              </w:rPr>
              <w:t>9</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Validité</w:t>
            </w:r>
            <w:r>
              <w:rPr>
                <w:noProof/>
                <w:webHidden/>
              </w:rPr>
              <w:tab/>
            </w:r>
            <w:r>
              <w:rPr>
                <w:noProof/>
                <w:webHidden/>
              </w:rPr>
              <w:fldChar w:fldCharType="begin"/>
            </w:r>
            <w:r>
              <w:rPr>
                <w:noProof/>
                <w:webHidden/>
              </w:rPr>
              <w:instrText xml:space="preserve"> PAGEREF _Toc45275178 \h </w:instrText>
            </w:r>
            <w:r>
              <w:rPr>
                <w:noProof/>
                <w:webHidden/>
              </w:rPr>
            </w:r>
            <w:r>
              <w:rPr>
                <w:noProof/>
                <w:webHidden/>
              </w:rPr>
              <w:fldChar w:fldCharType="separate"/>
            </w:r>
            <w:r w:rsidRPr="0063630B">
              <w:rPr>
                <w:noProof/>
                <w:webHidden/>
              </w:rPr>
              <w:t>6</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79" w:history="1">
            <w:r w:rsidRPr="0063630B">
              <w:rPr>
                <w:rStyle w:val="Hyperlink"/>
                <w:rFonts w:ascii="Calibri Light" w:eastAsiaTheme="majorEastAsia" w:hAnsi="Calibri Light" w:cs="Calibri Light"/>
                <w:smallCaps/>
                <w:noProof/>
              </w:rPr>
              <w:t>10</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Rapports, suivi et assurance de la qualité</w:t>
            </w:r>
            <w:r>
              <w:rPr>
                <w:noProof/>
                <w:webHidden/>
              </w:rPr>
              <w:tab/>
            </w:r>
            <w:r>
              <w:rPr>
                <w:noProof/>
                <w:webHidden/>
              </w:rPr>
              <w:fldChar w:fldCharType="begin"/>
            </w:r>
            <w:r>
              <w:rPr>
                <w:noProof/>
                <w:webHidden/>
              </w:rPr>
              <w:instrText xml:space="preserve"> PAGEREF _Toc45275179 \h </w:instrText>
            </w:r>
            <w:r>
              <w:rPr>
                <w:noProof/>
                <w:webHidden/>
              </w:rPr>
            </w:r>
            <w:r>
              <w:rPr>
                <w:noProof/>
                <w:webHidden/>
              </w:rPr>
              <w:fldChar w:fldCharType="separate"/>
            </w:r>
            <w:r w:rsidRPr="0063630B">
              <w:rPr>
                <w:noProof/>
                <w:webHidden/>
              </w:rPr>
              <w:t>7</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83" w:history="1">
            <w:r w:rsidRPr="0063630B">
              <w:rPr>
                <w:rStyle w:val="Hyperlink"/>
                <w:rFonts w:ascii="Calibri Light" w:eastAsiaTheme="majorEastAsia" w:hAnsi="Calibri Light" w:cs="Calibri Light"/>
                <w:noProof/>
              </w:rPr>
              <w:t>11</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Mesures correctives</w:t>
            </w:r>
            <w:r>
              <w:rPr>
                <w:noProof/>
                <w:webHidden/>
              </w:rPr>
              <w:tab/>
            </w:r>
            <w:r>
              <w:rPr>
                <w:noProof/>
                <w:webHidden/>
              </w:rPr>
              <w:fldChar w:fldCharType="begin"/>
            </w:r>
            <w:r>
              <w:rPr>
                <w:noProof/>
                <w:webHidden/>
              </w:rPr>
              <w:instrText xml:space="preserve"> PAGEREF _Toc45275183 \h </w:instrText>
            </w:r>
            <w:r>
              <w:rPr>
                <w:noProof/>
                <w:webHidden/>
              </w:rPr>
            </w:r>
            <w:r>
              <w:rPr>
                <w:noProof/>
                <w:webHidden/>
              </w:rPr>
              <w:fldChar w:fldCharType="separate"/>
            </w:r>
            <w:r w:rsidRPr="0063630B">
              <w:rPr>
                <w:noProof/>
                <w:webHidden/>
              </w:rPr>
              <w:t>8</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84" w:history="1">
            <w:r w:rsidRPr="0063630B">
              <w:rPr>
                <w:rStyle w:val="Hyperlink"/>
                <w:rFonts w:ascii="Calibri Light" w:eastAsiaTheme="majorEastAsia" w:hAnsi="Calibri Light" w:cs="Calibri Light"/>
                <w:smallCaps/>
                <w:noProof/>
              </w:rPr>
              <w:t>12</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Accès des demandeurs retenus aux financements</w:t>
            </w:r>
            <w:r>
              <w:rPr>
                <w:noProof/>
                <w:webHidden/>
              </w:rPr>
              <w:tab/>
            </w:r>
            <w:r>
              <w:rPr>
                <w:noProof/>
                <w:webHidden/>
              </w:rPr>
              <w:fldChar w:fldCharType="begin"/>
            </w:r>
            <w:r>
              <w:rPr>
                <w:noProof/>
                <w:webHidden/>
              </w:rPr>
              <w:instrText xml:space="preserve"> PAGEREF _Toc45275184 \h </w:instrText>
            </w:r>
            <w:r>
              <w:rPr>
                <w:noProof/>
                <w:webHidden/>
              </w:rPr>
            </w:r>
            <w:r>
              <w:rPr>
                <w:noProof/>
                <w:webHidden/>
              </w:rPr>
              <w:fldChar w:fldCharType="separate"/>
            </w:r>
            <w:r w:rsidRPr="0063630B">
              <w:rPr>
                <w:noProof/>
                <w:webHidden/>
              </w:rPr>
              <w:t>8</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88" w:history="1">
            <w:r w:rsidRPr="0063630B">
              <w:rPr>
                <w:rStyle w:val="Hyperlink"/>
                <w:rFonts w:ascii="Calibri Light" w:eastAsiaTheme="majorEastAsia" w:hAnsi="Calibri Light" w:cs="Calibri Light"/>
                <w:noProof/>
              </w:rPr>
              <w:t>13</w:t>
            </w:r>
            <w:r w:rsidRPr="009D443C">
              <w:rPr>
                <w:rStyle w:val="Hyperlink"/>
                <w:rFonts w:ascii="Calibri Light" w:eastAsiaTheme="majorEastAsia" w:hAnsi="Calibri Light" w:cs="Calibri Light"/>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Dépôt des demandes</w:t>
            </w:r>
            <w:r>
              <w:rPr>
                <w:noProof/>
                <w:webHidden/>
              </w:rPr>
              <w:tab/>
            </w:r>
            <w:r>
              <w:rPr>
                <w:noProof/>
                <w:webHidden/>
              </w:rPr>
              <w:fldChar w:fldCharType="begin"/>
            </w:r>
            <w:r>
              <w:rPr>
                <w:noProof/>
                <w:webHidden/>
              </w:rPr>
              <w:instrText xml:space="preserve"> PAGEREF _Toc45275188 \h </w:instrText>
            </w:r>
            <w:r>
              <w:rPr>
                <w:noProof/>
                <w:webHidden/>
              </w:rPr>
            </w:r>
            <w:r>
              <w:rPr>
                <w:noProof/>
                <w:webHidden/>
              </w:rPr>
              <w:fldChar w:fldCharType="separate"/>
            </w:r>
            <w:r w:rsidRPr="0063630B">
              <w:rPr>
                <w:noProof/>
                <w:webHidden/>
              </w:rPr>
              <w:t>9</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89" w:history="1">
            <w:r w:rsidRPr="0063630B">
              <w:rPr>
                <w:rStyle w:val="Hyperlink"/>
                <w:rFonts w:ascii="Calibri Light" w:eastAsiaTheme="majorEastAsia" w:hAnsi="Calibri Light" w:cs="Calibri Light"/>
                <w:smallCaps/>
                <w:noProof/>
              </w:rPr>
              <w:t>14</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Traitement des données à caractère personnel</w:t>
            </w:r>
            <w:r>
              <w:rPr>
                <w:noProof/>
                <w:webHidden/>
              </w:rPr>
              <w:tab/>
            </w:r>
            <w:r>
              <w:rPr>
                <w:noProof/>
                <w:webHidden/>
              </w:rPr>
              <w:fldChar w:fldCharType="begin"/>
            </w:r>
            <w:r>
              <w:rPr>
                <w:noProof/>
                <w:webHidden/>
              </w:rPr>
              <w:instrText xml:space="preserve"> PAGEREF _Toc45275189 \h </w:instrText>
            </w:r>
            <w:r>
              <w:rPr>
                <w:noProof/>
                <w:webHidden/>
              </w:rPr>
            </w:r>
            <w:r>
              <w:rPr>
                <w:noProof/>
                <w:webHidden/>
              </w:rPr>
              <w:fldChar w:fldCharType="separate"/>
            </w:r>
            <w:r w:rsidRPr="0063630B">
              <w:rPr>
                <w:noProof/>
                <w:webHidden/>
              </w:rPr>
              <w:t>9</w:t>
            </w:r>
            <w:r>
              <w:rPr>
                <w:noProof/>
                <w:webHidden/>
              </w:rPr>
              <w:fldChar w:fldCharType="end"/>
            </w:r>
          </w:hyperlink>
        </w:p>
        <w:p w:rsidR="005545F6" w:rsidRDefault="005545F6" w:rsidP="00D3159B">
          <w:pPr>
            <w:pStyle w:val="TOC1"/>
            <w:rPr>
              <w:rFonts w:asciiTheme="minorHAnsi" w:eastAsiaTheme="minorEastAsia" w:hAnsiTheme="minorHAnsi" w:cstheme="minorBidi"/>
              <w:noProof/>
              <w:sz w:val="22"/>
              <w:szCs w:val="22"/>
              <w:lang w:val="en-US" w:eastAsia="en-US"/>
            </w:rPr>
          </w:pPr>
          <w:hyperlink w:anchor="_Toc45275192" w:history="1">
            <w:r w:rsidRPr="0063630B">
              <w:rPr>
                <w:rStyle w:val="Hyperlink"/>
                <w:rFonts w:ascii="Calibri Light" w:eastAsiaTheme="majorEastAsia" w:hAnsi="Calibri Light" w:cs="Calibri Light"/>
                <w:smallCaps/>
                <w:noProof/>
              </w:rPr>
              <w:t>15</w:t>
            </w:r>
            <w:r w:rsidRPr="009D443C">
              <w:rPr>
                <w:rStyle w:val="Hyperlink"/>
                <w:rFonts w:ascii="Calibri Light" w:eastAsiaTheme="majorEastAsia" w:hAnsi="Calibri Light" w:cs="Calibri Light"/>
                <w:smallCaps/>
                <w:noProof/>
              </w:rPr>
              <w:t>.</w:t>
            </w:r>
            <w:r>
              <w:rPr>
                <w:rFonts w:asciiTheme="minorHAnsi" w:eastAsiaTheme="minorEastAsia" w:hAnsiTheme="minorHAnsi" w:cstheme="minorBidi"/>
                <w:noProof/>
                <w:sz w:val="22"/>
                <w:szCs w:val="22"/>
                <w:lang w:val="en-US" w:eastAsia="en-US"/>
              </w:rPr>
              <w:tab/>
            </w:r>
            <w:r w:rsidRPr="009D443C">
              <w:rPr>
                <w:rStyle w:val="Hyperlink"/>
                <w:rFonts w:ascii="Calibri Light" w:hAnsi="Calibri Light"/>
                <w:smallCaps/>
                <w:noProof/>
              </w:rPr>
              <w:t>Annexes</w:t>
            </w:r>
            <w:r>
              <w:rPr>
                <w:noProof/>
                <w:webHidden/>
              </w:rPr>
              <w:tab/>
            </w:r>
            <w:r>
              <w:rPr>
                <w:noProof/>
                <w:webHidden/>
              </w:rPr>
              <w:fldChar w:fldCharType="begin"/>
            </w:r>
            <w:r>
              <w:rPr>
                <w:noProof/>
                <w:webHidden/>
              </w:rPr>
              <w:instrText xml:space="preserve"> PAGEREF _Toc45275192 \h </w:instrText>
            </w:r>
            <w:r>
              <w:rPr>
                <w:noProof/>
                <w:webHidden/>
              </w:rPr>
            </w:r>
            <w:r>
              <w:rPr>
                <w:noProof/>
                <w:webHidden/>
              </w:rPr>
              <w:fldChar w:fldCharType="separate"/>
            </w:r>
            <w:r w:rsidRPr="0063630B">
              <w:rPr>
                <w:noProof/>
                <w:webHidden/>
              </w:rPr>
              <w:t>10</w:t>
            </w:r>
            <w:r>
              <w:rPr>
                <w:noProof/>
                <w:webHidden/>
              </w:rPr>
              <w:fldChar w:fldCharType="end"/>
            </w:r>
          </w:hyperlink>
        </w:p>
        <w:p w:rsidR="004576EC" w:rsidRPr="00A871CB" w:rsidRDefault="004576EC">
          <w:pPr>
            <w:rPr>
              <w:rFonts w:asciiTheme="minorHAnsi" w:hAnsiTheme="minorHAnsi"/>
            </w:rPr>
          </w:pPr>
          <w:r>
            <w:rPr>
              <w:rFonts w:asciiTheme="minorHAnsi" w:hAnsiTheme="minorHAnsi"/>
              <w:b/>
              <w:bCs/>
            </w:rPr>
            <w:fldChar w:fldCharType="end"/>
          </w:r>
        </w:p>
      </w:sdtContent>
    </w:sdt>
    <w:p w:rsidR="00796684" w:rsidRDefault="00796684" w:rsidP="00BC1EF9"/>
    <w:p w:rsidR="00A871CB" w:rsidRDefault="00A871CB">
      <w:pPr>
        <w:rPr>
          <w:rFonts w:ascii="Calibri Light" w:eastAsiaTheme="majorEastAsia" w:hAnsi="Calibri Light" w:cs="Calibri Light"/>
          <w:bCs/>
          <w:smallCaps/>
          <w:color w:val="000000" w:themeColor="text1"/>
          <w:sz w:val="28"/>
          <w:szCs w:val="28"/>
        </w:rPr>
      </w:pPr>
      <w:r>
        <w:br w:type="page"/>
      </w:r>
    </w:p>
    <w:p w:rsidR="00CC5272" w:rsidRPr="00BC1EF9" w:rsidRDefault="000E440C" w:rsidP="00BC1EF9">
      <w:pPr>
        <w:pStyle w:val="Title"/>
        <w:keepNext/>
        <w:keepLines/>
        <w:numPr>
          <w:ilvl w:val="0"/>
          <w:numId w:val="42"/>
        </w:numPr>
        <w:spacing w:before="0" w:after="160" w:line="259" w:lineRule="auto"/>
        <w:ind w:left="426" w:hanging="426"/>
        <w:jc w:val="left"/>
        <w:rPr>
          <w:rFonts w:ascii="Calibri Light" w:eastAsiaTheme="majorEastAsia" w:hAnsi="Calibri Light" w:cs="Calibri Light"/>
          <w:b w:val="0"/>
          <w:smallCaps/>
          <w:color w:val="000000" w:themeColor="text1"/>
          <w:sz w:val="28"/>
          <w:szCs w:val="28"/>
        </w:rPr>
      </w:pPr>
      <w:bookmarkStart w:id="7" w:name="_Toc45275164"/>
      <w:r>
        <w:rPr>
          <w:rFonts w:ascii="Calibri Light" w:hAnsi="Calibri Light"/>
          <w:b w:val="0"/>
          <w:smallCaps/>
          <w:color w:val="000000" w:themeColor="text1"/>
          <w:sz w:val="28"/>
          <w:szCs w:val="28"/>
        </w:rPr>
        <w:lastRenderedPageBreak/>
        <w:t>Introduction</w:t>
      </w:r>
      <w:bookmarkEnd w:id="7"/>
      <w:r>
        <w:rPr>
          <w:rFonts w:ascii="Calibri Light" w:hAnsi="Calibri Light"/>
          <w:b w:val="0"/>
          <w:smallCaps/>
          <w:color w:val="000000" w:themeColor="text1"/>
          <w:sz w:val="28"/>
          <w:szCs w:val="28"/>
        </w:rPr>
        <w:t xml:space="preserve"> </w:t>
      </w:r>
    </w:p>
    <w:p w:rsidR="00CC5272" w:rsidRDefault="00CC5272" w:rsidP="00BC1EF9">
      <w:pPr>
        <w:jc w:val="both"/>
        <w:rPr>
          <w:rFonts w:asciiTheme="minorHAnsi" w:hAnsiTheme="minorHAnsi"/>
          <w:sz w:val="22"/>
          <w:szCs w:val="22"/>
        </w:rPr>
      </w:pPr>
      <w:r>
        <w:rPr>
          <w:rFonts w:asciiTheme="minorHAnsi" w:hAnsiTheme="minorHAnsi"/>
          <w:sz w:val="22"/>
          <w:szCs w:val="22"/>
        </w:rPr>
        <w:t xml:space="preserve">L’appel à demandes d’accréditation Erasmus Jeunesse est lancé en préparation du programme de l’Union pour l’éducation, la formation, la jeunesse et le sport proposé pour la période </w:t>
      </w:r>
      <w:r w:rsidRPr="0063630B">
        <w:rPr>
          <w:rFonts w:asciiTheme="minorHAnsi" w:hAnsiTheme="minorHAnsi"/>
          <w:sz w:val="22"/>
          <w:szCs w:val="22"/>
        </w:rPr>
        <w:t>2021</w:t>
      </w:r>
      <w:r>
        <w:rPr>
          <w:rFonts w:asciiTheme="minorHAnsi" w:hAnsiTheme="minorHAnsi"/>
          <w:sz w:val="22"/>
          <w:szCs w:val="22"/>
        </w:rPr>
        <w:t>-</w:t>
      </w:r>
      <w:r w:rsidRPr="0063630B">
        <w:rPr>
          <w:rFonts w:asciiTheme="minorHAnsi" w:hAnsiTheme="minorHAnsi"/>
          <w:sz w:val="22"/>
          <w:szCs w:val="22"/>
        </w:rPr>
        <w:t>2027</w:t>
      </w:r>
      <w:r>
        <w:rPr>
          <w:rFonts w:asciiTheme="minorHAnsi" w:hAnsiTheme="minorHAnsi"/>
          <w:sz w:val="22"/>
          <w:szCs w:val="22"/>
        </w:rPr>
        <w:t xml:space="preserve"> par la Commission européenne le </w:t>
      </w:r>
      <w:r w:rsidRPr="0063630B">
        <w:rPr>
          <w:rFonts w:asciiTheme="minorHAnsi" w:hAnsiTheme="minorHAnsi"/>
          <w:sz w:val="22"/>
          <w:szCs w:val="22"/>
        </w:rPr>
        <w:t>30</w:t>
      </w:r>
      <w:r>
        <w:rPr>
          <w:rFonts w:asciiTheme="minorHAnsi" w:hAnsiTheme="minorHAnsi"/>
          <w:sz w:val="22"/>
          <w:szCs w:val="22"/>
        </w:rPr>
        <w:t> mai </w:t>
      </w:r>
      <w:r w:rsidRPr="0063630B">
        <w:rPr>
          <w:rFonts w:asciiTheme="minorHAnsi" w:hAnsiTheme="minorHAnsi"/>
          <w:sz w:val="22"/>
          <w:szCs w:val="22"/>
        </w:rPr>
        <w:t>2018</w:t>
      </w:r>
      <w:r>
        <w:rPr>
          <w:rFonts w:asciiTheme="minorHAnsi" w:hAnsiTheme="minorHAnsi"/>
          <w:sz w:val="22"/>
          <w:szCs w:val="22"/>
        </w:rPr>
        <w:t xml:space="preserve"> (ci-après le «programme»)</w:t>
      </w:r>
      <w:r>
        <w:rPr>
          <w:rStyle w:val="FootnoteReference"/>
          <w:rFonts w:asciiTheme="minorHAnsi" w:hAnsiTheme="minorHAnsi"/>
          <w:sz w:val="22"/>
          <w:szCs w:val="22"/>
        </w:rPr>
        <w:t xml:space="preserve"> </w:t>
      </w:r>
      <w:r>
        <w:rPr>
          <w:rStyle w:val="FootnoteReference"/>
          <w:rFonts w:asciiTheme="minorHAnsi" w:eastAsia="SimSun" w:hAnsiTheme="minorHAnsi" w:cstheme="minorHAnsi"/>
          <w:sz w:val="22"/>
          <w:szCs w:val="22"/>
        </w:rPr>
        <w:footnoteReference w:id="1"/>
      </w:r>
      <w:r>
        <w:rPr>
          <w:rFonts w:asciiTheme="minorHAnsi" w:hAnsiTheme="minorHAnsi"/>
          <w:sz w:val="22"/>
          <w:szCs w:val="22"/>
        </w:rPr>
        <w:t>.</w:t>
      </w:r>
    </w:p>
    <w:p w:rsidR="00A63B6C" w:rsidRPr="00BC1EF9" w:rsidRDefault="00A63B6C" w:rsidP="00BC1EF9">
      <w:pPr>
        <w:jc w:val="both"/>
        <w:rPr>
          <w:rFonts w:asciiTheme="minorHAnsi" w:hAnsiTheme="minorHAnsi"/>
          <w:sz w:val="22"/>
          <w:szCs w:val="22"/>
        </w:rPr>
      </w:pPr>
    </w:p>
    <w:p w:rsidR="00A03DAD" w:rsidRPr="00BC1EF9" w:rsidRDefault="00A03DAD" w:rsidP="00BC1EF9">
      <w:pPr>
        <w:pStyle w:val="Title"/>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8" w:name="_Toc45275165"/>
      <w:r>
        <w:rPr>
          <w:rFonts w:ascii="Calibri Light" w:hAnsi="Calibri Light"/>
          <w:b w:val="0"/>
          <w:smallCaps/>
          <w:color w:val="000000" w:themeColor="text1"/>
          <w:sz w:val="28"/>
          <w:szCs w:val="28"/>
        </w:rPr>
        <w:t>Description</w:t>
      </w:r>
      <w:bookmarkEnd w:id="8"/>
      <w:r>
        <w:rPr>
          <w:rFonts w:ascii="Calibri Light" w:hAnsi="Calibri Light"/>
          <w:b w:val="0"/>
          <w:smallCaps/>
          <w:color w:val="000000" w:themeColor="text1"/>
          <w:sz w:val="28"/>
          <w:szCs w:val="28"/>
        </w:rPr>
        <w:t xml:space="preserve"> </w:t>
      </w:r>
    </w:p>
    <w:p w:rsidR="004824C4" w:rsidRDefault="00A03DAD" w:rsidP="00A03DAD">
      <w:pPr>
        <w:jc w:val="both"/>
        <w:rPr>
          <w:rFonts w:asciiTheme="minorHAnsi" w:hAnsiTheme="minorHAnsi"/>
          <w:sz w:val="22"/>
          <w:szCs w:val="22"/>
        </w:rPr>
      </w:pPr>
      <w:r>
        <w:rPr>
          <w:rFonts w:asciiTheme="minorHAnsi" w:hAnsiTheme="minorHAnsi"/>
          <w:sz w:val="22"/>
          <w:szCs w:val="22"/>
        </w:rPr>
        <w:t xml:space="preserve">Les accréditations Erasmus sont un outil pour les établissements qui souhaitent ouvrir leurs activités à des échanges et à une coopération transfrontières et qui prévoient de mener régulièrement des activités de mobilité à des fins d’éducation et de formation. </w:t>
      </w:r>
    </w:p>
    <w:p w:rsidR="004824C4" w:rsidRDefault="004824C4" w:rsidP="00A03DAD">
      <w:pPr>
        <w:jc w:val="both"/>
        <w:rPr>
          <w:rFonts w:asciiTheme="minorHAnsi" w:hAnsiTheme="minorHAnsi"/>
          <w:sz w:val="22"/>
          <w:szCs w:val="22"/>
        </w:rPr>
      </w:pPr>
    </w:p>
    <w:p w:rsidR="004824C4" w:rsidRPr="00B11D30" w:rsidRDefault="004824C4" w:rsidP="004824C4">
      <w:pPr>
        <w:jc w:val="both"/>
        <w:rPr>
          <w:rFonts w:asciiTheme="minorHAnsi" w:hAnsiTheme="minorHAnsi"/>
          <w:sz w:val="22"/>
          <w:szCs w:val="22"/>
        </w:rPr>
      </w:pPr>
      <w:r>
        <w:rPr>
          <w:rFonts w:asciiTheme="minorHAnsi" w:hAnsiTheme="minorHAnsi"/>
          <w:sz w:val="22"/>
          <w:szCs w:val="22"/>
        </w:rPr>
        <w:t>L’accréditation Erasmus Jeunesse permet un accès simplifié aux possibilités de financement qui seront offertes au titre de l’action clé nº </w:t>
      </w:r>
      <w:r w:rsidRPr="0063630B">
        <w:rPr>
          <w:rFonts w:asciiTheme="minorHAnsi" w:hAnsiTheme="minorHAnsi"/>
          <w:sz w:val="22"/>
          <w:szCs w:val="22"/>
        </w:rPr>
        <w:t>1</w:t>
      </w:r>
      <w:r>
        <w:rPr>
          <w:rFonts w:asciiTheme="minorHAnsi" w:hAnsiTheme="minorHAnsi"/>
          <w:sz w:val="22"/>
          <w:szCs w:val="22"/>
        </w:rPr>
        <w:t xml:space="preserve"> du futur programme (</w:t>
      </w:r>
      <w:r w:rsidRPr="0063630B">
        <w:rPr>
          <w:rFonts w:asciiTheme="minorHAnsi" w:hAnsiTheme="minorHAnsi"/>
          <w:sz w:val="22"/>
          <w:szCs w:val="22"/>
        </w:rPr>
        <w:t>2021</w:t>
      </w:r>
      <w:r>
        <w:rPr>
          <w:rFonts w:asciiTheme="minorHAnsi" w:hAnsiTheme="minorHAnsi"/>
          <w:sz w:val="22"/>
          <w:szCs w:val="22"/>
        </w:rPr>
        <w:t>-</w:t>
      </w:r>
      <w:r w:rsidRPr="0063630B">
        <w:rPr>
          <w:rFonts w:asciiTheme="minorHAnsi" w:hAnsiTheme="minorHAnsi"/>
          <w:sz w:val="22"/>
          <w:szCs w:val="22"/>
        </w:rPr>
        <w:t>2027</w:t>
      </w:r>
      <w:r>
        <w:rPr>
          <w:rFonts w:asciiTheme="minorHAnsi" w:hAnsiTheme="minorHAnsi"/>
          <w:sz w:val="22"/>
          <w:szCs w:val="22"/>
        </w:rPr>
        <w:t xml:space="preserve">) pour les activités de mobilité à des fins d’éducation et de formation dans le domaine de la jeunesse, comme décrit à la section </w:t>
      </w:r>
      <w:r w:rsidRPr="0063630B">
        <w:rPr>
          <w:rFonts w:asciiTheme="minorHAnsi" w:hAnsiTheme="minorHAnsi"/>
          <w:sz w:val="22"/>
          <w:szCs w:val="22"/>
        </w:rPr>
        <w:t>12</w:t>
      </w:r>
      <w:r>
        <w:rPr>
          <w:rFonts w:asciiTheme="minorHAnsi" w:hAnsiTheme="minorHAnsi"/>
          <w:sz w:val="22"/>
          <w:szCs w:val="22"/>
        </w:rPr>
        <w:t xml:space="preserve"> des présentes règles. </w:t>
      </w:r>
    </w:p>
    <w:p w:rsidR="00A03DAD" w:rsidRPr="00BC1EF9" w:rsidRDefault="00A03DAD" w:rsidP="00A03DAD">
      <w:pPr>
        <w:jc w:val="both"/>
        <w:rPr>
          <w:rFonts w:asciiTheme="minorHAnsi" w:hAnsiTheme="minorHAnsi"/>
          <w:sz w:val="22"/>
          <w:szCs w:val="22"/>
        </w:rPr>
      </w:pPr>
    </w:p>
    <w:p w:rsidR="00CC5272" w:rsidRPr="00BC1EF9" w:rsidRDefault="004824C4" w:rsidP="00CC5272">
      <w:pPr>
        <w:jc w:val="both"/>
        <w:rPr>
          <w:rFonts w:asciiTheme="minorHAnsi" w:hAnsiTheme="minorHAnsi"/>
          <w:sz w:val="22"/>
          <w:szCs w:val="22"/>
        </w:rPr>
      </w:pPr>
      <w:r>
        <w:rPr>
          <w:rFonts w:asciiTheme="minorHAnsi" w:hAnsiTheme="minorHAnsi"/>
          <w:sz w:val="22"/>
          <w:szCs w:val="22"/>
        </w:rPr>
        <w:t xml:space="preserve">Les établissements soumettant une demande devront exposer leurs objectifs et leur plan à plus long terme concernant les activités à financer par des fonds Erasmus, les avantages escomptés et leur approche de la gestion de projet, comme décrit plus en détail à la section </w:t>
      </w:r>
      <w:r w:rsidRPr="0063630B">
        <w:rPr>
          <w:rFonts w:asciiTheme="minorHAnsi" w:hAnsiTheme="minorHAnsi"/>
          <w:sz w:val="22"/>
          <w:szCs w:val="22"/>
        </w:rPr>
        <w:t>7</w:t>
      </w:r>
      <w:r>
        <w:rPr>
          <w:rFonts w:asciiTheme="minorHAnsi" w:hAnsiTheme="minorHAnsi"/>
          <w:sz w:val="22"/>
          <w:szCs w:val="22"/>
        </w:rPr>
        <w:t>.</w:t>
      </w:r>
      <w:r>
        <w:rPr>
          <w:rFonts w:asciiTheme="minorHAnsi" w:hAnsiTheme="minorHAnsi"/>
          <w:i/>
          <w:color w:val="000000" w:themeColor="text1"/>
          <w:sz w:val="22"/>
          <w:szCs w:val="22"/>
        </w:rPr>
        <w:t xml:space="preserve"> </w:t>
      </w:r>
      <w:r>
        <w:rPr>
          <w:rFonts w:asciiTheme="minorHAnsi" w:hAnsiTheme="minorHAnsi"/>
          <w:sz w:val="22"/>
          <w:szCs w:val="22"/>
        </w:rPr>
        <w:t xml:space="preserve">L’octroi de l’accréditation Erasmus Jeunesse confirme que le demandeur a mis en place des processus et des mesures appropriés et efficaces pour mener des activités de mobilité à des fins d’éducation et de formation de haute qualité de la façon prévue, et pour les utiliser d’une manière qui favorise le domaine de la jeunesse. </w:t>
      </w:r>
    </w:p>
    <w:p w:rsidR="00CC5272" w:rsidRPr="00BC1EF9" w:rsidRDefault="00CC5272" w:rsidP="000E440C">
      <w:pPr>
        <w:jc w:val="both"/>
        <w:rPr>
          <w:rFonts w:asciiTheme="minorHAnsi" w:hAnsiTheme="minorHAnsi"/>
          <w:sz w:val="22"/>
          <w:szCs w:val="22"/>
        </w:rPr>
      </w:pPr>
    </w:p>
    <w:p w:rsidR="00A871CB" w:rsidRDefault="000E608A" w:rsidP="00A871CB">
      <w:pPr>
        <w:jc w:val="both"/>
        <w:rPr>
          <w:rFonts w:asciiTheme="minorHAnsi" w:hAnsiTheme="minorHAnsi"/>
          <w:sz w:val="22"/>
          <w:szCs w:val="22"/>
        </w:rPr>
      </w:pPr>
      <w:r>
        <w:rPr>
          <w:rFonts w:asciiTheme="minorHAnsi" w:hAnsiTheme="minorHAnsi"/>
          <w:sz w:val="22"/>
          <w:szCs w:val="22"/>
        </w:rPr>
        <w:t>Une expérience antérieure dans le cadre d’Erasmus + (</w:t>
      </w:r>
      <w:r w:rsidRPr="0063630B">
        <w:rPr>
          <w:rFonts w:asciiTheme="minorHAnsi" w:hAnsiTheme="minorHAnsi"/>
          <w:sz w:val="22"/>
          <w:szCs w:val="22"/>
        </w:rPr>
        <w:t>2014</w:t>
      </w:r>
      <w:r>
        <w:rPr>
          <w:rFonts w:asciiTheme="minorHAnsi" w:hAnsiTheme="minorHAnsi"/>
          <w:sz w:val="22"/>
          <w:szCs w:val="22"/>
        </w:rPr>
        <w:t>-</w:t>
      </w:r>
      <w:r w:rsidRPr="0063630B">
        <w:rPr>
          <w:rFonts w:asciiTheme="minorHAnsi" w:hAnsiTheme="minorHAnsi"/>
          <w:sz w:val="22"/>
          <w:szCs w:val="22"/>
        </w:rPr>
        <w:t>2020</w:t>
      </w:r>
      <w:r>
        <w:rPr>
          <w:rFonts w:asciiTheme="minorHAnsi" w:hAnsiTheme="minorHAnsi"/>
          <w:sz w:val="22"/>
          <w:szCs w:val="22"/>
        </w:rPr>
        <w:t>) ne constitue pas une exigence.</w:t>
      </w:r>
    </w:p>
    <w:p w:rsidR="00960671" w:rsidRDefault="00960671" w:rsidP="00A871CB">
      <w:pPr>
        <w:jc w:val="both"/>
        <w:rPr>
          <w:rFonts w:asciiTheme="minorHAnsi" w:hAnsiTheme="minorHAnsi"/>
          <w:sz w:val="22"/>
          <w:szCs w:val="22"/>
        </w:rPr>
      </w:pPr>
    </w:p>
    <w:p w:rsidR="004824C4" w:rsidRDefault="004824C4" w:rsidP="00BC1EF9">
      <w:pPr>
        <w:pStyle w:val="Title"/>
        <w:keepNext/>
        <w:keepLines/>
        <w:numPr>
          <w:ilvl w:val="0"/>
          <w:numId w:val="42"/>
        </w:numPr>
        <w:spacing w:after="160" w:line="259" w:lineRule="auto"/>
        <w:ind w:left="357" w:hanging="357"/>
        <w:jc w:val="left"/>
        <w:rPr>
          <w:rFonts w:ascii="Calibri Light" w:eastAsiaTheme="majorEastAsia" w:hAnsi="Calibri Light" w:cs="Calibri Light"/>
          <w:b w:val="0"/>
          <w:smallCaps/>
          <w:color w:val="000000" w:themeColor="text1"/>
          <w:sz w:val="28"/>
          <w:szCs w:val="28"/>
        </w:rPr>
      </w:pPr>
      <w:bookmarkStart w:id="9" w:name="_Toc45275166"/>
      <w:r>
        <w:rPr>
          <w:rFonts w:ascii="Calibri Light" w:hAnsi="Calibri Light"/>
          <w:b w:val="0"/>
          <w:color w:val="000000" w:themeColor="text1"/>
          <w:sz w:val="28"/>
          <w:szCs w:val="28"/>
        </w:rPr>
        <w:t>O</w:t>
      </w:r>
      <w:r>
        <w:rPr>
          <w:rFonts w:ascii="Calibri Light" w:hAnsi="Calibri Light"/>
          <w:b w:val="0"/>
          <w:smallCaps/>
          <w:color w:val="000000" w:themeColor="text1"/>
          <w:sz w:val="28"/>
          <w:szCs w:val="28"/>
        </w:rPr>
        <w:t>bjectifs</w:t>
      </w:r>
      <w:bookmarkEnd w:id="9"/>
    </w:p>
    <w:p w:rsidR="004824C4" w:rsidRPr="00DB512B" w:rsidRDefault="004824C4" w:rsidP="00DB512B">
      <w:pPr>
        <w:pStyle w:val="Title"/>
        <w:keepNext/>
        <w:keepLines/>
        <w:spacing w:after="160" w:line="259" w:lineRule="auto"/>
        <w:jc w:val="left"/>
        <w:rPr>
          <w:rFonts w:asciiTheme="minorHAnsi" w:hAnsiTheme="minorHAnsi"/>
          <w:sz w:val="22"/>
          <w:szCs w:val="22"/>
        </w:rPr>
      </w:pPr>
      <w:bookmarkStart w:id="10" w:name="_Toc42670945"/>
      <w:bookmarkStart w:id="11" w:name="_Toc45275167"/>
      <w:r>
        <w:rPr>
          <w:rFonts w:asciiTheme="minorHAnsi" w:hAnsiTheme="minorHAnsi"/>
          <w:b w:val="0"/>
          <w:bCs w:val="0"/>
          <w:sz w:val="22"/>
          <w:szCs w:val="22"/>
        </w:rPr>
        <w:t>L’action poursuit les objectifs suivants:</w:t>
      </w:r>
      <w:bookmarkEnd w:id="10"/>
      <w:bookmarkEnd w:id="11"/>
    </w:p>
    <w:p w:rsidR="004824C4" w:rsidRPr="00DB512B" w:rsidRDefault="004824C4" w:rsidP="00DB512B">
      <w:pPr>
        <w:pStyle w:val="ListParagraph"/>
        <w:numPr>
          <w:ilvl w:val="0"/>
          <w:numId w:val="39"/>
        </w:numPr>
        <w:jc w:val="both"/>
        <w:rPr>
          <w:rFonts w:asciiTheme="minorHAnsi" w:hAnsiTheme="minorHAnsi"/>
        </w:rPr>
      </w:pPr>
      <w:r>
        <w:rPr>
          <w:rFonts w:asciiTheme="minorHAnsi" w:hAnsiTheme="minorHAnsi"/>
        </w:rPr>
        <w:t>renforcer le développement personnel et professionnel des jeunes au moyen d’activités non formelles et informelles de mobilité à des fins d’éducation et de formation;</w:t>
      </w:r>
    </w:p>
    <w:p w:rsidR="004824C4" w:rsidRPr="00DB512B" w:rsidRDefault="004824C4" w:rsidP="00DB512B">
      <w:pPr>
        <w:pStyle w:val="ListParagraph"/>
        <w:numPr>
          <w:ilvl w:val="0"/>
          <w:numId w:val="39"/>
        </w:numPr>
        <w:jc w:val="both"/>
        <w:rPr>
          <w:rFonts w:asciiTheme="minorHAnsi" w:hAnsiTheme="minorHAnsi"/>
        </w:rPr>
      </w:pPr>
      <w:r>
        <w:rPr>
          <w:rFonts w:asciiTheme="minorHAnsi" w:hAnsiTheme="minorHAnsi"/>
        </w:rPr>
        <w:t>favoriser l’autonomisation des jeunes, leur citoyenneté active et leur participation à la vie démocratique;</w:t>
      </w:r>
    </w:p>
    <w:p w:rsidR="004824C4" w:rsidRPr="00DB512B" w:rsidRDefault="004824C4" w:rsidP="00DB512B">
      <w:pPr>
        <w:pStyle w:val="ListParagraph"/>
        <w:numPr>
          <w:ilvl w:val="0"/>
          <w:numId w:val="39"/>
        </w:numPr>
        <w:jc w:val="both"/>
        <w:rPr>
          <w:rFonts w:asciiTheme="minorHAnsi" w:hAnsiTheme="minorHAnsi"/>
        </w:rPr>
      </w:pPr>
      <w:r>
        <w:rPr>
          <w:rFonts w:asciiTheme="minorHAnsi" w:hAnsiTheme="minorHAnsi"/>
        </w:rPr>
        <w:t xml:space="preserve">favoriser l’amélioration de la qualité de l’animation socio-éducative aux niveaux local, régional, national, européen et international, en renforçant les capacités des établissements actifs dans le domaine de la jeunesse et en soutenant le développement professionnel des animateurs socio-éducatifs; </w:t>
      </w:r>
    </w:p>
    <w:p w:rsidR="004824C4" w:rsidRPr="00DB512B" w:rsidRDefault="004824C4" w:rsidP="00DB512B">
      <w:pPr>
        <w:pStyle w:val="ListParagraph"/>
        <w:numPr>
          <w:ilvl w:val="0"/>
          <w:numId w:val="39"/>
        </w:numPr>
        <w:jc w:val="both"/>
        <w:rPr>
          <w:rFonts w:asciiTheme="minorHAnsi" w:hAnsiTheme="minorHAnsi"/>
        </w:rPr>
      </w:pPr>
      <w:r>
        <w:rPr>
          <w:rFonts w:asciiTheme="minorHAnsi" w:hAnsiTheme="minorHAnsi"/>
        </w:rPr>
        <w:lastRenderedPageBreak/>
        <w:t xml:space="preserve">promouvoir l’inclusion et la diversité, le dialogue interculturel et les valeurs de solidarité, d’égalité des chances et de droits de l’homme parmi les jeunes en Europe. </w:t>
      </w:r>
    </w:p>
    <w:p w:rsidR="004824C4" w:rsidRPr="00DB512B" w:rsidRDefault="004824C4" w:rsidP="00DB512B">
      <w:pPr>
        <w:rPr>
          <w:rFonts w:eastAsiaTheme="majorEastAsia"/>
          <w:b/>
          <w:lang w:eastAsia="en-US"/>
        </w:rPr>
      </w:pPr>
    </w:p>
    <w:p w:rsidR="00A831AE" w:rsidRPr="00BC1EF9" w:rsidRDefault="00796684" w:rsidP="00BC1EF9">
      <w:pPr>
        <w:pStyle w:val="Title"/>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2" w:name="_Toc45275168"/>
      <w:r>
        <w:rPr>
          <w:rFonts w:ascii="Calibri Light" w:hAnsi="Calibri Light"/>
          <w:smallCaps/>
          <w:color w:val="000000" w:themeColor="text1"/>
          <w:sz w:val="28"/>
          <w:szCs w:val="28"/>
        </w:rPr>
        <w:t>Critères d’éligibilité</w:t>
      </w:r>
      <w:bookmarkEnd w:id="12"/>
      <w:r>
        <w:rPr>
          <w:rFonts w:ascii="Calibri Light" w:hAnsi="Calibri Light"/>
          <w:b w:val="0"/>
          <w:smallCaps/>
          <w:color w:val="000000" w:themeColor="text1"/>
          <w:sz w:val="28"/>
          <w:szCs w:val="28"/>
        </w:rPr>
        <w:t xml:space="preserve"> </w:t>
      </w:r>
    </w:p>
    <w:p w:rsidR="009B659E" w:rsidRPr="00DB512B" w:rsidRDefault="00960671" w:rsidP="00DB512B">
      <w:pPr>
        <w:jc w:val="both"/>
        <w:rPr>
          <w:rFonts w:asciiTheme="minorHAnsi" w:hAnsiTheme="minorHAnsi"/>
        </w:rPr>
      </w:pPr>
      <w:r>
        <w:rPr>
          <w:rFonts w:asciiTheme="minorHAnsi" w:hAnsiTheme="minorHAnsi"/>
          <w:sz w:val="22"/>
          <w:szCs w:val="22"/>
        </w:rPr>
        <w:t xml:space="preserve">Seuls les demandeurs satisfaisant aux exigences énoncées à l’article </w:t>
      </w:r>
      <w:r w:rsidRPr="0063630B">
        <w:rPr>
          <w:rFonts w:asciiTheme="minorHAnsi" w:hAnsiTheme="minorHAnsi"/>
          <w:sz w:val="22"/>
          <w:szCs w:val="22"/>
        </w:rPr>
        <w:t>23</w:t>
      </w:r>
      <w:r>
        <w:rPr>
          <w:rFonts w:asciiTheme="minorHAnsi" w:hAnsiTheme="minorHAnsi"/>
          <w:sz w:val="22"/>
          <w:szCs w:val="22"/>
        </w:rPr>
        <w:t xml:space="preserve">, paragraphe </w:t>
      </w:r>
      <w:r w:rsidRPr="0063630B">
        <w:rPr>
          <w:rFonts w:asciiTheme="minorHAnsi" w:hAnsiTheme="minorHAnsi"/>
          <w:sz w:val="22"/>
          <w:szCs w:val="22"/>
        </w:rPr>
        <w:t>1</w:t>
      </w:r>
      <w:r>
        <w:rPr>
          <w:rFonts w:asciiTheme="minorHAnsi" w:hAnsiTheme="minorHAnsi"/>
          <w:sz w:val="22"/>
          <w:szCs w:val="22"/>
        </w:rPr>
        <w:t>, du règlement (UE) nº </w:t>
      </w:r>
      <w:r w:rsidRPr="0063630B">
        <w:rPr>
          <w:rFonts w:asciiTheme="minorHAnsi" w:hAnsiTheme="minorHAnsi"/>
          <w:sz w:val="22"/>
          <w:szCs w:val="22"/>
        </w:rPr>
        <w:t>1288</w:t>
      </w:r>
      <w:r>
        <w:rPr>
          <w:rFonts w:asciiTheme="minorHAnsi" w:hAnsiTheme="minorHAnsi"/>
          <w:sz w:val="22"/>
          <w:szCs w:val="22"/>
        </w:rPr>
        <w:t>/</w:t>
      </w:r>
      <w:r w:rsidRPr="0063630B">
        <w:rPr>
          <w:rFonts w:asciiTheme="minorHAnsi" w:hAnsiTheme="minorHAnsi"/>
          <w:sz w:val="22"/>
          <w:szCs w:val="22"/>
        </w:rPr>
        <w:t>2013</w:t>
      </w:r>
      <w:r>
        <w:rPr>
          <w:rFonts w:asciiTheme="minorHAnsi" w:hAnsiTheme="minorHAnsi"/>
          <w:sz w:val="22"/>
          <w:szCs w:val="22"/>
        </w:rPr>
        <w:t xml:space="preserve"> du Parlement européen et du Conseil du </w:t>
      </w:r>
      <w:r w:rsidRPr="0063630B">
        <w:rPr>
          <w:rFonts w:asciiTheme="minorHAnsi" w:hAnsiTheme="minorHAnsi"/>
          <w:sz w:val="22"/>
          <w:szCs w:val="22"/>
        </w:rPr>
        <w:t>11</w:t>
      </w:r>
      <w:r>
        <w:rPr>
          <w:rFonts w:asciiTheme="minorHAnsi" w:hAnsiTheme="minorHAnsi"/>
          <w:sz w:val="22"/>
          <w:szCs w:val="22"/>
        </w:rPr>
        <w:t xml:space="preserve"> décembre </w:t>
      </w:r>
      <w:r w:rsidRPr="0063630B">
        <w:rPr>
          <w:rFonts w:asciiTheme="minorHAnsi" w:hAnsiTheme="minorHAnsi"/>
          <w:sz w:val="22"/>
          <w:szCs w:val="22"/>
        </w:rPr>
        <w:t>2013</w:t>
      </w:r>
      <w:r>
        <w:rPr>
          <w:rFonts w:asciiTheme="minorHAnsi" w:hAnsiTheme="minorHAnsi"/>
          <w:sz w:val="22"/>
          <w:szCs w:val="22"/>
        </w:rPr>
        <w:t xml:space="preserve"> établissant «Erasmus +»: le programme de l’Union pour l’éducation, la formation, la jeunesse et le sport et abrogeant les décisions nº </w:t>
      </w:r>
      <w:r w:rsidRPr="0063630B">
        <w:rPr>
          <w:rFonts w:asciiTheme="minorHAnsi" w:hAnsiTheme="minorHAnsi"/>
          <w:sz w:val="22"/>
          <w:szCs w:val="22"/>
        </w:rPr>
        <w:t>1719</w:t>
      </w:r>
      <w:r>
        <w:rPr>
          <w:rFonts w:asciiTheme="minorHAnsi" w:hAnsiTheme="minorHAnsi"/>
          <w:sz w:val="22"/>
          <w:szCs w:val="22"/>
        </w:rPr>
        <w:t>/</w:t>
      </w:r>
      <w:r w:rsidRPr="0063630B">
        <w:rPr>
          <w:rFonts w:asciiTheme="minorHAnsi" w:hAnsiTheme="minorHAnsi"/>
          <w:sz w:val="22"/>
          <w:szCs w:val="22"/>
        </w:rPr>
        <w:t>2006</w:t>
      </w:r>
      <w:r>
        <w:rPr>
          <w:rFonts w:asciiTheme="minorHAnsi" w:hAnsiTheme="minorHAnsi"/>
          <w:sz w:val="22"/>
          <w:szCs w:val="22"/>
        </w:rPr>
        <w:t>/CE, nº </w:t>
      </w:r>
      <w:r w:rsidRPr="0063630B">
        <w:rPr>
          <w:rFonts w:asciiTheme="minorHAnsi" w:hAnsiTheme="minorHAnsi"/>
          <w:sz w:val="22"/>
          <w:szCs w:val="22"/>
        </w:rPr>
        <w:t>1720</w:t>
      </w:r>
      <w:r>
        <w:rPr>
          <w:rFonts w:asciiTheme="minorHAnsi" w:hAnsiTheme="minorHAnsi"/>
          <w:sz w:val="22"/>
          <w:szCs w:val="22"/>
        </w:rPr>
        <w:t>/</w:t>
      </w:r>
      <w:r w:rsidRPr="0063630B">
        <w:rPr>
          <w:rFonts w:asciiTheme="minorHAnsi" w:hAnsiTheme="minorHAnsi"/>
          <w:sz w:val="22"/>
          <w:szCs w:val="22"/>
        </w:rPr>
        <w:t>2006</w:t>
      </w:r>
      <w:r>
        <w:rPr>
          <w:rFonts w:asciiTheme="minorHAnsi" w:hAnsiTheme="minorHAnsi"/>
          <w:sz w:val="22"/>
          <w:szCs w:val="22"/>
        </w:rPr>
        <w:t>/CE et nº </w:t>
      </w:r>
      <w:r w:rsidRPr="0063630B">
        <w:rPr>
          <w:rFonts w:asciiTheme="minorHAnsi" w:hAnsiTheme="minorHAnsi"/>
          <w:sz w:val="22"/>
          <w:szCs w:val="22"/>
        </w:rPr>
        <w:t>1298</w:t>
      </w:r>
      <w:r>
        <w:rPr>
          <w:rFonts w:asciiTheme="minorHAnsi" w:hAnsiTheme="minorHAnsi"/>
          <w:sz w:val="22"/>
          <w:szCs w:val="22"/>
        </w:rPr>
        <w:t>/</w:t>
      </w:r>
      <w:r w:rsidRPr="0063630B">
        <w:rPr>
          <w:rFonts w:asciiTheme="minorHAnsi" w:hAnsiTheme="minorHAnsi"/>
          <w:sz w:val="22"/>
          <w:szCs w:val="22"/>
        </w:rPr>
        <w:t>2008</w:t>
      </w:r>
      <w:r>
        <w:rPr>
          <w:rFonts w:asciiTheme="minorHAnsi" w:hAnsiTheme="minorHAnsi"/>
          <w:sz w:val="22"/>
          <w:szCs w:val="22"/>
        </w:rPr>
        <w:t xml:space="preserve">/CE peuvent soumettre une demande. </w:t>
      </w:r>
    </w:p>
    <w:p w:rsidR="00796684" w:rsidRPr="00BC1EF9" w:rsidRDefault="00796684" w:rsidP="00BC1EF9">
      <w:pPr>
        <w:pStyle w:val="Title"/>
        <w:keepNext/>
        <w:keepLines/>
        <w:spacing w:after="160" w:line="259" w:lineRule="auto"/>
        <w:jc w:val="left"/>
        <w:rPr>
          <w:rFonts w:asciiTheme="minorHAnsi" w:hAnsiTheme="minorHAnsi"/>
          <w:b w:val="0"/>
          <w:bCs w:val="0"/>
          <w:kern w:val="0"/>
          <w:sz w:val="22"/>
          <w:szCs w:val="22"/>
        </w:rPr>
      </w:pPr>
      <w:bookmarkStart w:id="13" w:name="_Toc42670947"/>
      <w:bookmarkStart w:id="14" w:name="_Toc45275169"/>
      <w:r>
        <w:rPr>
          <w:rFonts w:asciiTheme="minorHAnsi" w:hAnsiTheme="minorHAnsi"/>
          <w:b w:val="0"/>
          <w:bCs w:val="0"/>
          <w:sz w:val="22"/>
          <w:szCs w:val="22"/>
        </w:rPr>
        <w:t>L’accréditation Erasmus + Jeunesse est ouverte à tout organisme public ou privé ayant son siège dans:</w:t>
      </w:r>
      <w:bookmarkEnd w:id="13"/>
      <w:bookmarkEnd w:id="14"/>
    </w:p>
    <w:p w:rsidR="00796684" w:rsidRDefault="00796684" w:rsidP="00BC1EF9">
      <w:pPr>
        <w:pStyle w:val="ListParagraph"/>
        <w:numPr>
          <w:ilvl w:val="0"/>
          <w:numId w:val="39"/>
        </w:numPr>
        <w:jc w:val="both"/>
        <w:rPr>
          <w:rFonts w:asciiTheme="minorHAnsi" w:hAnsiTheme="minorHAnsi"/>
        </w:rPr>
      </w:pPr>
      <w:r>
        <w:rPr>
          <w:rFonts w:asciiTheme="minorHAnsi" w:hAnsiTheme="minorHAnsi"/>
        </w:rPr>
        <w:t>les États membres de l’Union européenne;</w:t>
      </w:r>
    </w:p>
    <w:p w:rsidR="004824C4" w:rsidRDefault="00796684" w:rsidP="004824C4">
      <w:pPr>
        <w:pStyle w:val="ListParagraph"/>
        <w:numPr>
          <w:ilvl w:val="0"/>
          <w:numId w:val="22"/>
        </w:numPr>
        <w:rPr>
          <w:rFonts w:asciiTheme="minorHAnsi" w:hAnsiTheme="minorHAnsi"/>
        </w:rPr>
      </w:pPr>
      <w:r>
        <w:rPr>
          <w:rFonts w:asciiTheme="minorHAnsi" w:hAnsiTheme="minorHAnsi"/>
        </w:rPr>
        <w:t>les pays tiers associés au programme, dans les conditions définies dans la base juridique</w:t>
      </w:r>
      <w:r>
        <w:rPr>
          <w:rFonts w:asciiTheme="minorHAnsi" w:hAnsiTheme="minorHAnsi"/>
          <w:vertAlign w:val="superscript"/>
        </w:rPr>
        <w:footnoteReference w:id="2"/>
      </w:r>
      <w:r>
        <w:rPr>
          <w:rFonts w:asciiTheme="minorHAnsi" w:hAnsiTheme="minorHAnsi"/>
        </w:rPr>
        <w:t>.</w:t>
      </w:r>
    </w:p>
    <w:p w:rsidR="004824C4" w:rsidRDefault="004824C4" w:rsidP="00DB512B">
      <w:pPr>
        <w:pStyle w:val="ListParagraph"/>
        <w:rPr>
          <w:rFonts w:asciiTheme="minorHAnsi" w:hAnsiTheme="minorHAnsi"/>
        </w:rPr>
      </w:pPr>
    </w:p>
    <w:p w:rsidR="004824C4" w:rsidRPr="00DB512B" w:rsidRDefault="004824C4" w:rsidP="00DB512B">
      <w:pPr>
        <w:pStyle w:val="ListParagraph"/>
        <w:ind w:hanging="720"/>
        <w:rPr>
          <w:rFonts w:asciiTheme="minorHAnsi" w:hAnsiTheme="minorHAnsi"/>
        </w:rPr>
      </w:pPr>
      <w:r>
        <w:rPr>
          <w:rFonts w:asciiTheme="minorHAnsi" w:hAnsiTheme="minorHAnsi"/>
        </w:rPr>
        <w:t>Une expérience antérieure dans le cadre d’Erasmus + (</w:t>
      </w:r>
      <w:r w:rsidRPr="0063630B">
        <w:rPr>
          <w:rFonts w:asciiTheme="minorHAnsi" w:hAnsiTheme="minorHAnsi"/>
        </w:rPr>
        <w:t>2014</w:t>
      </w:r>
      <w:r>
        <w:rPr>
          <w:rFonts w:asciiTheme="minorHAnsi" w:hAnsiTheme="minorHAnsi"/>
        </w:rPr>
        <w:t>-</w:t>
      </w:r>
      <w:r w:rsidRPr="0063630B">
        <w:rPr>
          <w:rFonts w:asciiTheme="minorHAnsi" w:hAnsiTheme="minorHAnsi"/>
        </w:rPr>
        <w:t>2020</w:t>
      </w:r>
      <w:r>
        <w:rPr>
          <w:rFonts w:asciiTheme="minorHAnsi" w:hAnsiTheme="minorHAnsi"/>
        </w:rPr>
        <w:t>) ne constitue pas une exigence.</w:t>
      </w:r>
    </w:p>
    <w:p w:rsidR="006C262E" w:rsidRPr="00BC1EF9" w:rsidRDefault="006C262E"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bookmarkStart w:id="15" w:name="_Toc45275170"/>
      <w:r>
        <w:rPr>
          <w:rFonts w:ascii="Calibri Light" w:hAnsi="Calibri Light"/>
          <w:b w:val="0"/>
          <w:smallCaps/>
          <w:color w:val="000000" w:themeColor="text1"/>
          <w:sz w:val="28"/>
          <w:szCs w:val="28"/>
        </w:rPr>
        <w:t>Critères d’exclusion</w:t>
      </w:r>
      <w:bookmarkEnd w:id="15"/>
    </w:p>
    <w:p w:rsidR="00FE7400" w:rsidRPr="00BC1EF9" w:rsidRDefault="006C262E" w:rsidP="006C262E">
      <w:pPr>
        <w:jc w:val="both"/>
        <w:rPr>
          <w:rFonts w:asciiTheme="minorHAnsi" w:hAnsiTheme="minorHAnsi"/>
          <w:sz w:val="22"/>
          <w:szCs w:val="22"/>
        </w:rPr>
      </w:pPr>
      <w:r>
        <w:rPr>
          <w:rFonts w:asciiTheme="minorHAnsi" w:hAnsiTheme="minorHAnsi"/>
          <w:sz w:val="22"/>
          <w:szCs w:val="22"/>
        </w:rPr>
        <w:t>Les demandeurs doivent présenter une déclaration sur l’honneur signée, au sens de l’article </w:t>
      </w:r>
      <w:r w:rsidRPr="0063630B">
        <w:rPr>
          <w:rFonts w:asciiTheme="minorHAnsi" w:hAnsiTheme="minorHAnsi"/>
          <w:sz w:val="22"/>
          <w:szCs w:val="22"/>
        </w:rPr>
        <w:t>137</w:t>
      </w:r>
      <w:r>
        <w:rPr>
          <w:rFonts w:asciiTheme="minorHAnsi" w:hAnsiTheme="minorHAnsi"/>
          <w:sz w:val="22"/>
          <w:szCs w:val="22"/>
        </w:rPr>
        <w:t xml:space="preserve"> du règlement financier de l’UE</w:t>
      </w:r>
      <w:r>
        <w:rPr>
          <w:rFonts w:asciiTheme="minorHAnsi" w:hAnsiTheme="minorHAnsi"/>
          <w:sz w:val="22"/>
          <w:szCs w:val="22"/>
          <w:vertAlign w:val="superscript"/>
        </w:rPr>
        <w:footnoteReference w:id="3"/>
      </w:r>
      <w:r>
        <w:rPr>
          <w:rFonts w:asciiTheme="minorHAnsi" w:hAnsiTheme="minorHAnsi"/>
          <w:sz w:val="22"/>
          <w:szCs w:val="22"/>
        </w:rPr>
        <w:t xml:space="preserve">, certifiant: </w:t>
      </w:r>
    </w:p>
    <w:p w:rsidR="00FE7400" w:rsidRPr="00BC1EF9" w:rsidRDefault="00FE7400" w:rsidP="006C262E">
      <w:pPr>
        <w:jc w:val="both"/>
        <w:rPr>
          <w:rFonts w:asciiTheme="minorHAnsi" w:hAnsiTheme="minorHAnsi"/>
          <w:sz w:val="22"/>
          <w:szCs w:val="22"/>
        </w:rPr>
      </w:pPr>
    </w:p>
    <w:p w:rsidR="00FE7400" w:rsidRPr="00BC1EF9" w:rsidRDefault="006C262E" w:rsidP="00BC1EF9">
      <w:pPr>
        <w:pStyle w:val="ListParagraph"/>
        <w:numPr>
          <w:ilvl w:val="0"/>
          <w:numId w:val="39"/>
        </w:numPr>
        <w:jc w:val="both"/>
        <w:rPr>
          <w:rFonts w:asciiTheme="minorHAnsi" w:hAnsiTheme="minorHAnsi"/>
        </w:rPr>
      </w:pPr>
      <w:r>
        <w:rPr>
          <w:rFonts w:asciiTheme="minorHAnsi" w:hAnsiTheme="minorHAnsi"/>
        </w:rPr>
        <w:t>qu’ils ne se trouvent dans aucune des situations mentionnées à l’article </w:t>
      </w:r>
      <w:r w:rsidRPr="0063630B">
        <w:rPr>
          <w:rFonts w:asciiTheme="minorHAnsi" w:hAnsiTheme="minorHAnsi"/>
        </w:rPr>
        <w:t>136</w:t>
      </w:r>
      <w:r>
        <w:rPr>
          <w:rFonts w:asciiTheme="minorHAnsi" w:hAnsiTheme="minorHAnsi"/>
        </w:rPr>
        <w:t>, paragraphe </w:t>
      </w:r>
      <w:r w:rsidRPr="0063630B">
        <w:rPr>
          <w:rFonts w:asciiTheme="minorHAnsi" w:hAnsiTheme="minorHAnsi"/>
        </w:rPr>
        <w:t>1</w:t>
      </w:r>
      <w:r>
        <w:rPr>
          <w:rFonts w:asciiTheme="minorHAnsi" w:hAnsiTheme="minorHAnsi"/>
        </w:rPr>
        <w:t>, et à l’article </w:t>
      </w:r>
      <w:r w:rsidRPr="0063630B">
        <w:rPr>
          <w:rFonts w:asciiTheme="minorHAnsi" w:hAnsiTheme="minorHAnsi"/>
        </w:rPr>
        <w:t>141</w:t>
      </w:r>
      <w:r>
        <w:rPr>
          <w:rFonts w:asciiTheme="minorHAnsi" w:hAnsiTheme="minorHAnsi"/>
        </w:rPr>
        <w:t xml:space="preserve"> du même règlement, </w:t>
      </w:r>
    </w:p>
    <w:p w:rsidR="006C262E" w:rsidRPr="00BC1EF9" w:rsidRDefault="00FE7400" w:rsidP="00BC1EF9">
      <w:pPr>
        <w:pStyle w:val="Guide-Heading4"/>
        <w:keepNext w:val="0"/>
        <w:numPr>
          <w:ilvl w:val="0"/>
          <w:numId w:val="39"/>
        </w:numPr>
        <w:spacing w:before="60"/>
        <w:ind w:left="714" w:hanging="357"/>
        <w:jc w:val="both"/>
        <w:rPr>
          <w:rFonts w:asciiTheme="minorHAnsi" w:eastAsia="SimSun" w:hAnsiTheme="minorHAnsi" w:cstheme="minorHAnsi"/>
          <w:sz w:val="22"/>
          <w:szCs w:val="22"/>
        </w:rPr>
      </w:pPr>
      <w:bookmarkStart w:id="16" w:name="_Toc42670949"/>
      <w:bookmarkStart w:id="17" w:name="_Toc45275171"/>
      <w:r>
        <w:rPr>
          <w:rFonts w:asciiTheme="minorHAnsi" w:hAnsiTheme="minorHAnsi"/>
          <w:b w:val="0"/>
          <w:smallCaps w:val="0"/>
          <w:sz w:val="22"/>
          <w:szCs w:val="22"/>
        </w:rPr>
        <w:t>que la demande soumise comprend un contenu original rédigé par l’établissement demandeur, et qu’aucune autre entité ou personne extérieure n’a été rémunérée pour la rédaction de la demande.</w:t>
      </w:r>
      <w:bookmarkEnd w:id="16"/>
      <w:bookmarkEnd w:id="17"/>
    </w:p>
    <w:p w:rsidR="00796684" w:rsidRPr="00796684" w:rsidRDefault="00FE7400">
      <w:pPr>
        <w:pStyle w:val="Guide-Heading4"/>
        <w:keepNext w:val="0"/>
        <w:jc w:val="both"/>
        <w:rPr>
          <w:rFonts w:asciiTheme="minorHAnsi" w:eastAsia="SimSun" w:hAnsiTheme="minorHAnsi" w:cstheme="minorHAnsi"/>
          <w:b w:val="0"/>
          <w:smallCaps w:val="0"/>
          <w:sz w:val="22"/>
          <w:szCs w:val="22"/>
        </w:rPr>
      </w:pPr>
      <w:bookmarkStart w:id="18" w:name="_Toc42670950"/>
      <w:bookmarkStart w:id="19" w:name="_Toc45275172"/>
      <w:r>
        <w:rPr>
          <w:rFonts w:asciiTheme="minorHAnsi" w:hAnsiTheme="minorHAnsi"/>
          <w:b w:val="0"/>
          <w:smallCaps w:val="0"/>
          <w:sz w:val="22"/>
          <w:szCs w:val="22"/>
        </w:rPr>
        <w:t>L’agence nationale peut, à tout moment, exclure le demandeur de la procédure d’accréditation ou mettre fin à une accréditation accordée si elle constate que les informations fournies dans la déclaration sur l’honneur sont inexactes (par exemple, si des contenus identiques ou très similaires se retrouvent dans des demandes présentées par d’autres établissements).</w:t>
      </w:r>
      <w:bookmarkEnd w:id="18"/>
      <w:bookmarkEnd w:id="19"/>
    </w:p>
    <w:p w:rsidR="00796684" w:rsidRPr="00A60F6B" w:rsidRDefault="00796684"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20" w:name="_Toc45275173"/>
      <w:r>
        <w:rPr>
          <w:rFonts w:ascii="Calibri Light" w:hAnsi="Calibri Light"/>
          <w:b w:val="0"/>
          <w:smallCaps/>
          <w:color w:val="000000" w:themeColor="text1"/>
          <w:sz w:val="28"/>
          <w:szCs w:val="28"/>
        </w:rPr>
        <w:t>Critères de sélection</w:t>
      </w:r>
      <w:bookmarkEnd w:id="20"/>
    </w:p>
    <w:p w:rsidR="00796684" w:rsidRPr="00BC1EF9" w:rsidRDefault="00796684" w:rsidP="00BC1EF9">
      <w:pPr>
        <w:pStyle w:val="Title"/>
        <w:keepNext/>
        <w:keepLines/>
        <w:numPr>
          <w:ilvl w:val="1"/>
          <w:numId w:val="42"/>
        </w:numPr>
        <w:spacing w:before="360" w:after="160" w:line="259" w:lineRule="auto"/>
        <w:ind w:left="426" w:hanging="426"/>
        <w:jc w:val="left"/>
        <w:rPr>
          <w:rFonts w:ascii="Calibri Light" w:eastAsiaTheme="majorEastAsia" w:hAnsi="Calibri Light" w:cs="Calibri Light"/>
          <w:smallCaps/>
          <w:color w:val="000000" w:themeColor="text1"/>
        </w:rPr>
      </w:pPr>
      <w:bookmarkStart w:id="21" w:name="_Toc42670952"/>
      <w:bookmarkStart w:id="22" w:name="_Toc45275174"/>
      <w:r>
        <w:rPr>
          <w:rFonts w:ascii="Calibri Light" w:hAnsi="Calibri Light"/>
          <w:b w:val="0"/>
          <w:smallCaps/>
          <w:color w:val="000000" w:themeColor="text1"/>
          <w:sz w:val="24"/>
          <w:szCs w:val="24"/>
        </w:rPr>
        <w:t>Capacité opérationnelle</w:t>
      </w:r>
      <w:bookmarkEnd w:id="21"/>
      <w:bookmarkEnd w:id="22"/>
      <w:r>
        <w:rPr>
          <w:rFonts w:ascii="Calibri Light" w:hAnsi="Calibri Light"/>
          <w:b w:val="0"/>
          <w:smallCaps/>
          <w:color w:val="000000" w:themeColor="text1"/>
          <w:sz w:val="24"/>
          <w:szCs w:val="24"/>
        </w:rPr>
        <w:t xml:space="preserve"> </w:t>
      </w:r>
    </w:p>
    <w:p w:rsidR="00EB6BC9" w:rsidRPr="00BC1EF9" w:rsidRDefault="00EB6BC9" w:rsidP="00BC1EF9">
      <w:pPr>
        <w:jc w:val="both"/>
        <w:rPr>
          <w:rFonts w:asciiTheme="minorHAnsi" w:hAnsiTheme="minorHAnsi"/>
          <w:sz w:val="22"/>
          <w:szCs w:val="22"/>
        </w:rPr>
      </w:pPr>
      <w:r>
        <w:rPr>
          <w:rFonts w:asciiTheme="minorHAnsi" w:hAnsiTheme="minorHAnsi"/>
          <w:sz w:val="22"/>
          <w:szCs w:val="22"/>
        </w:rPr>
        <w:t xml:space="preserve">Le demandeur doit disposer d’une capacité professionnelle et opérationnelle suffisante pour mener à bien le plan d’activités proposé. Pour ce qui est de l’expérience, il doit posséder au moins deux ans d’expérience dans l’exercice d’activités dans le domaine de la jeunesse. </w:t>
      </w:r>
    </w:p>
    <w:p w:rsidR="00EB6BC9" w:rsidRPr="00BC1EF9" w:rsidRDefault="00EB6BC9" w:rsidP="00EB6BC9">
      <w:pPr>
        <w:rPr>
          <w:rFonts w:asciiTheme="minorHAnsi" w:hAnsiTheme="minorHAnsi"/>
          <w:sz w:val="22"/>
          <w:szCs w:val="22"/>
        </w:rPr>
      </w:pPr>
    </w:p>
    <w:p w:rsidR="00FE7400" w:rsidRPr="00BC1EF9" w:rsidRDefault="00FE7400" w:rsidP="00BC1EF9">
      <w:pPr>
        <w:jc w:val="both"/>
        <w:rPr>
          <w:rFonts w:asciiTheme="minorHAnsi" w:hAnsiTheme="minorHAnsi"/>
          <w:sz w:val="22"/>
          <w:szCs w:val="22"/>
        </w:rPr>
      </w:pPr>
      <w:r>
        <w:rPr>
          <w:rFonts w:asciiTheme="minorHAnsi" w:hAnsiTheme="minorHAnsi"/>
          <w:sz w:val="22"/>
          <w:szCs w:val="22"/>
        </w:rPr>
        <w:lastRenderedPageBreak/>
        <w:t>La capacité opérationnelle sera vérifiée sur la base de la demande (notamment les informations relatives à une participation du demandeur au programme antérieur Erasmus + </w:t>
      </w:r>
      <w:r w:rsidRPr="0063630B">
        <w:rPr>
          <w:rFonts w:asciiTheme="minorHAnsi" w:hAnsiTheme="minorHAnsi"/>
          <w:sz w:val="22"/>
          <w:szCs w:val="22"/>
        </w:rPr>
        <w:t>2014</w:t>
      </w:r>
      <w:r>
        <w:rPr>
          <w:rFonts w:asciiTheme="minorHAnsi" w:hAnsiTheme="minorHAnsi"/>
          <w:sz w:val="22"/>
          <w:szCs w:val="22"/>
        </w:rPr>
        <w:t>-</w:t>
      </w:r>
      <w:r w:rsidRPr="0063630B">
        <w:rPr>
          <w:rFonts w:asciiTheme="minorHAnsi" w:hAnsiTheme="minorHAnsi"/>
          <w:sz w:val="22"/>
          <w:szCs w:val="22"/>
        </w:rPr>
        <w:t>2020</w:t>
      </w:r>
      <w:r>
        <w:rPr>
          <w:rFonts w:asciiTheme="minorHAnsi" w:hAnsiTheme="minorHAnsi"/>
          <w:sz w:val="22"/>
          <w:szCs w:val="22"/>
        </w:rPr>
        <w:t>) et des documents chargés dans le système d’enregistrement. Les demandeurs qui ne fourniront pas les informations requises dans le formulaire de demande pourront être exclus pour ce motif. L’agence nationale se réserve le droit d’exiger des pièces justificatives supplémentaires pour vérifier les informations figurant dans la demande.</w:t>
      </w:r>
    </w:p>
    <w:p w:rsidR="00796684" w:rsidRPr="00BC1EF9" w:rsidRDefault="00EB6BC9" w:rsidP="00BC1EF9">
      <w:pPr>
        <w:pStyle w:val="Title"/>
        <w:keepNext/>
        <w:keepLines/>
        <w:numPr>
          <w:ilvl w:val="1"/>
          <w:numId w:val="42"/>
        </w:numPr>
        <w:spacing w:before="360" w:after="160" w:line="259" w:lineRule="auto"/>
        <w:ind w:left="426" w:hanging="426"/>
        <w:jc w:val="left"/>
        <w:rPr>
          <w:rFonts w:ascii="Calibri Light" w:eastAsiaTheme="majorEastAsia" w:hAnsi="Calibri Light" w:cs="Calibri Light"/>
          <w:smallCaps/>
          <w:color w:val="000000" w:themeColor="text1"/>
        </w:rPr>
      </w:pPr>
      <w:bookmarkStart w:id="23" w:name="_Toc42670953"/>
      <w:bookmarkStart w:id="24" w:name="_Toc45275175"/>
      <w:r>
        <w:rPr>
          <w:rFonts w:ascii="Calibri Light" w:hAnsi="Calibri Light"/>
          <w:b w:val="0"/>
          <w:smallCaps/>
          <w:color w:val="000000" w:themeColor="text1"/>
          <w:sz w:val="24"/>
          <w:szCs w:val="24"/>
        </w:rPr>
        <w:t>Capacité financière</w:t>
      </w:r>
      <w:bookmarkEnd w:id="23"/>
      <w:bookmarkEnd w:id="24"/>
      <w:r>
        <w:rPr>
          <w:rFonts w:ascii="Calibri Light" w:hAnsi="Calibri Light"/>
          <w:b w:val="0"/>
          <w:smallCaps/>
          <w:color w:val="000000" w:themeColor="text1"/>
          <w:sz w:val="24"/>
          <w:szCs w:val="24"/>
        </w:rPr>
        <w:t xml:space="preserve"> </w:t>
      </w:r>
    </w:p>
    <w:p w:rsidR="00796684" w:rsidRPr="00BC1EF9" w:rsidRDefault="00796684" w:rsidP="00BC1EF9">
      <w:pPr>
        <w:jc w:val="both"/>
        <w:rPr>
          <w:rFonts w:asciiTheme="minorHAnsi" w:hAnsiTheme="minorHAnsi"/>
          <w:sz w:val="22"/>
          <w:szCs w:val="22"/>
        </w:rPr>
      </w:pPr>
      <w:r>
        <w:rPr>
          <w:rFonts w:asciiTheme="minorHAnsi" w:hAnsiTheme="minorHAnsi"/>
          <w:sz w:val="22"/>
          <w:szCs w:val="22"/>
        </w:rPr>
        <w:t>Les demandeurs doivent disposer de sources de financement stables et suffisantes pour maintenir leurs activités habituelles pendant la mise en œuvre du plan d’activités proposé. Leur capacité financière ne sera toutefois pas vérifiée dans le cadre de la procédure de sélection aux fins du présent appel. Elle le sera lorsque les établissements accrédités solliciteront une subvention, conformément aux règles fixées dans les appels à propositions annuels publiés par la Commission européenne.</w:t>
      </w:r>
    </w:p>
    <w:p w:rsidR="00796684" w:rsidRPr="00BC1EF9" w:rsidRDefault="00796684" w:rsidP="00BC1EF9">
      <w:pPr>
        <w:jc w:val="both"/>
        <w:rPr>
          <w:rFonts w:asciiTheme="minorHAnsi" w:hAnsiTheme="minorHAnsi"/>
        </w:rPr>
      </w:pPr>
    </w:p>
    <w:p w:rsidR="006C262E" w:rsidRPr="00BC1EF9" w:rsidRDefault="006C262E" w:rsidP="00BC1EF9">
      <w:pPr>
        <w:pStyle w:val="Title"/>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25" w:name="_Toc45275176"/>
      <w:r>
        <w:rPr>
          <w:rFonts w:ascii="Calibri Light" w:hAnsi="Calibri Light"/>
          <w:b w:val="0"/>
          <w:smallCaps/>
          <w:color w:val="000000" w:themeColor="text1"/>
          <w:sz w:val="28"/>
          <w:szCs w:val="28"/>
        </w:rPr>
        <w:t>Critères d’attribution</w:t>
      </w:r>
      <w:bookmarkEnd w:id="25"/>
      <w:r>
        <w:rPr>
          <w:rFonts w:ascii="Calibri Light" w:hAnsi="Calibri Light"/>
          <w:b w:val="0"/>
          <w:smallCaps/>
          <w:color w:val="000000" w:themeColor="text1"/>
          <w:sz w:val="28"/>
          <w:szCs w:val="28"/>
        </w:rPr>
        <w:t xml:space="preserve"> </w:t>
      </w:r>
    </w:p>
    <w:p w:rsidR="004824C4" w:rsidRDefault="004824C4" w:rsidP="00BC1EF9">
      <w:pPr>
        <w:spacing w:before="200" w:after="60"/>
        <w:jc w:val="both"/>
        <w:rPr>
          <w:rFonts w:asciiTheme="minorHAnsi" w:hAnsiTheme="minorHAnsi" w:cstheme="minorHAnsi"/>
          <w:sz w:val="22"/>
          <w:szCs w:val="20"/>
        </w:rPr>
      </w:pPr>
      <w:r>
        <w:rPr>
          <w:rFonts w:asciiTheme="minorHAnsi" w:hAnsiTheme="minorHAnsi"/>
          <w:sz w:val="22"/>
          <w:szCs w:val="20"/>
        </w:rPr>
        <w:t>La qualité des propositions sera évaluée par l’attribution de points sur un total de </w:t>
      </w:r>
      <w:r w:rsidRPr="0063630B">
        <w:rPr>
          <w:rFonts w:asciiTheme="minorHAnsi" w:hAnsiTheme="minorHAnsi"/>
          <w:sz w:val="22"/>
          <w:szCs w:val="20"/>
        </w:rPr>
        <w:t>100</w:t>
      </w:r>
      <w:r>
        <w:rPr>
          <w:rFonts w:asciiTheme="minorHAnsi" w:hAnsiTheme="minorHAnsi"/>
          <w:sz w:val="22"/>
          <w:szCs w:val="20"/>
        </w:rPr>
        <w:t xml:space="preserve">, selon les critères d’attribution et de pondération ci-dessous. </w:t>
      </w:r>
    </w:p>
    <w:p w:rsidR="00796684" w:rsidRPr="00796684" w:rsidRDefault="00796684" w:rsidP="00BC1EF9">
      <w:pPr>
        <w:spacing w:before="200" w:after="60"/>
        <w:jc w:val="both"/>
        <w:rPr>
          <w:rFonts w:asciiTheme="minorHAnsi" w:hAnsiTheme="minorHAnsi" w:cstheme="minorHAnsi"/>
          <w:sz w:val="22"/>
          <w:szCs w:val="20"/>
        </w:rPr>
      </w:pPr>
      <w:r>
        <w:rPr>
          <w:rFonts w:asciiTheme="minorHAnsi" w:hAnsiTheme="minorHAnsi"/>
          <w:sz w:val="22"/>
          <w:szCs w:val="20"/>
        </w:rPr>
        <w:t>Afin d’être retenues en vue de l’attribution éventuelle d’une accréditation, les demandes doivent obtenir les résultats suivants:</w:t>
      </w:r>
    </w:p>
    <w:p w:rsidR="00796684" w:rsidRPr="00BC1EF9" w:rsidRDefault="00796684" w:rsidP="00BC1EF9">
      <w:pPr>
        <w:pStyle w:val="ListParagraph"/>
        <w:widowControl w:val="0"/>
        <w:numPr>
          <w:ilvl w:val="0"/>
          <w:numId w:val="41"/>
        </w:numPr>
        <w:suppressAutoHyphens/>
        <w:autoSpaceDN w:val="0"/>
        <w:spacing w:before="60" w:after="200"/>
        <w:ind w:left="357" w:hanging="357"/>
        <w:contextualSpacing/>
        <w:jc w:val="both"/>
        <w:rPr>
          <w:rFonts w:asciiTheme="minorHAnsi" w:hAnsiTheme="minorHAnsi"/>
        </w:rPr>
      </w:pPr>
      <w:r>
        <w:rPr>
          <w:rFonts w:asciiTheme="minorHAnsi" w:hAnsiTheme="minorHAnsi"/>
          <w:szCs w:val="20"/>
        </w:rPr>
        <w:t xml:space="preserve">au moins </w:t>
      </w:r>
      <w:r w:rsidRPr="0063630B">
        <w:rPr>
          <w:rFonts w:asciiTheme="minorHAnsi" w:hAnsiTheme="minorHAnsi"/>
          <w:szCs w:val="20"/>
        </w:rPr>
        <w:t>70</w:t>
      </w:r>
      <w:r>
        <w:rPr>
          <w:rFonts w:asciiTheme="minorHAnsi" w:hAnsiTheme="minorHAnsi"/>
          <w:szCs w:val="20"/>
        </w:rPr>
        <w:t xml:space="preserve"> points sur </w:t>
      </w:r>
      <w:r w:rsidRPr="0063630B">
        <w:rPr>
          <w:rFonts w:asciiTheme="minorHAnsi" w:hAnsiTheme="minorHAnsi"/>
          <w:szCs w:val="20"/>
        </w:rPr>
        <w:t>100</w:t>
      </w:r>
      <w:r>
        <w:rPr>
          <w:rFonts w:asciiTheme="minorHAnsi" w:hAnsiTheme="minorHAnsi"/>
          <w:szCs w:val="20"/>
        </w:rPr>
        <w:t xml:space="preserve"> au total, et</w:t>
      </w:r>
    </w:p>
    <w:p w:rsidR="00796684" w:rsidRPr="00BC1EF9" w:rsidRDefault="00796684" w:rsidP="00713D87">
      <w:pPr>
        <w:pStyle w:val="ListParagraph"/>
        <w:widowControl w:val="0"/>
        <w:numPr>
          <w:ilvl w:val="0"/>
          <w:numId w:val="41"/>
        </w:numPr>
        <w:suppressAutoHyphens/>
        <w:autoSpaceDN w:val="0"/>
        <w:spacing w:before="200"/>
        <w:contextualSpacing/>
        <w:jc w:val="both"/>
        <w:rPr>
          <w:rFonts w:asciiTheme="minorHAnsi" w:hAnsiTheme="minorHAnsi"/>
        </w:rPr>
      </w:pPr>
      <w:r>
        <w:rPr>
          <w:rFonts w:asciiTheme="minorHAnsi" w:hAnsiTheme="minorHAnsi"/>
          <w:szCs w:val="20"/>
        </w:rPr>
        <w:t xml:space="preserve">au moins la moitié du total des points dans chacune des trois catégories de critères d’attribution (à savoir </w:t>
      </w:r>
      <w:r w:rsidRPr="0063630B">
        <w:rPr>
          <w:rFonts w:asciiTheme="minorHAnsi" w:hAnsiTheme="minorHAnsi"/>
          <w:szCs w:val="20"/>
        </w:rPr>
        <w:t>10</w:t>
      </w:r>
      <w:r>
        <w:rPr>
          <w:rFonts w:asciiTheme="minorHAnsi" w:hAnsiTheme="minorHAnsi"/>
          <w:szCs w:val="20"/>
        </w:rPr>
        <w:t xml:space="preserve"> points au minimum pour la catégorie «Pertinence du profil et de l’expérience de l’établissement»; </w:t>
      </w:r>
      <w:r w:rsidRPr="0063630B">
        <w:rPr>
          <w:rFonts w:asciiTheme="minorHAnsi" w:hAnsiTheme="minorHAnsi"/>
          <w:szCs w:val="20"/>
        </w:rPr>
        <w:t>20</w:t>
      </w:r>
      <w:r>
        <w:rPr>
          <w:rFonts w:asciiTheme="minorHAnsi" w:hAnsiTheme="minorHAnsi"/>
          <w:szCs w:val="20"/>
        </w:rPr>
        <w:t xml:space="preserve"> points pour les catégories «Développement stratégique» et «Qualité de la gestion et de la coordination») </w:t>
      </w:r>
    </w:p>
    <w:p w:rsidR="004C5F5E" w:rsidRPr="00BC1EF9" w:rsidRDefault="004C5F5E" w:rsidP="00796684">
      <w:pPr>
        <w:jc w:val="both"/>
        <w:rPr>
          <w:rFonts w:asciiTheme="minorHAnsi" w:hAnsiTheme="minorHAnsi"/>
        </w:rPr>
      </w:pPr>
    </w:p>
    <w:tbl>
      <w:tblPr>
        <w:tblStyle w:val="TableGrid1"/>
        <w:tblW w:w="5000" w:type="pct"/>
        <w:tblInd w:w="0" w:type="dxa"/>
        <w:tblBorders>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785"/>
        <w:gridCol w:w="7455"/>
      </w:tblGrid>
      <w:tr w:rsidR="00796684" w:rsidRPr="00796684" w:rsidTr="00796684">
        <w:trPr>
          <w:trHeight w:val="20"/>
        </w:trPr>
        <w:tc>
          <w:tcPr>
            <w:tcW w:w="966" w:type="pct"/>
            <w:tcBorders>
              <w:top w:val="single" w:sz="4" w:space="0" w:color="auto"/>
              <w:bottom w:val="single" w:sz="4" w:space="0" w:color="auto"/>
              <w:right w:val="single" w:sz="4" w:space="0" w:color="auto"/>
            </w:tcBorders>
            <w:vAlign w:val="center"/>
          </w:tcPr>
          <w:p w:rsidR="00796684" w:rsidRDefault="00796684" w:rsidP="00796684">
            <w:pPr>
              <w:spacing w:after="120"/>
              <w:rPr>
                <w:b/>
                <w:sz w:val="22"/>
                <w:szCs w:val="22"/>
              </w:rPr>
            </w:pPr>
            <w:r>
              <w:rPr>
                <w:b/>
                <w:sz w:val="22"/>
                <w:szCs w:val="22"/>
              </w:rPr>
              <w:t xml:space="preserve">Pertinence du profil et de l’expérience de </w:t>
            </w:r>
            <w:r w:rsidR="009D39D5">
              <w:rPr>
                <w:b/>
                <w:sz w:val="22"/>
                <w:szCs w:val="22"/>
              </w:rPr>
              <w:t>l'</w:t>
            </w:r>
            <w:r>
              <w:rPr>
                <w:b/>
                <w:sz w:val="22"/>
                <w:szCs w:val="22"/>
              </w:rPr>
              <w:t xml:space="preserve">établissement </w:t>
            </w:r>
          </w:p>
          <w:p w:rsidR="00796684" w:rsidRPr="00BC1EF9" w:rsidRDefault="00796684">
            <w:pPr>
              <w:spacing w:after="120"/>
              <w:rPr>
                <w:sz w:val="22"/>
                <w:szCs w:val="22"/>
              </w:rPr>
            </w:pPr>
            <w:r>
              <w:rPr>
                <w:sz w:val="22"/>
                <w:szCs w:val="22"/>
              </w:rPr>
              <w:t>(</w:t>
            </w:r>
            <w:r w:rsidRPr="0063630B">
              <w:rPr>
                <w:sz w:val="22"/>
                <w:szCs w:val="22"/>
              </w:rPr>
              <w:t>20</w:t>
            </w:r>
            <w:r>
              <w:rPr>
                <w:sz w:val="22"/>
                <w:szCs w:val="22"/>
              </w:rPr>
              <w:t> points maximum)</w:t>
            </w:r>
          </w:p>
        </w:tc>
        <w:tc>
          <w:tcPr>
            <w:tcW w:w="4034" w:type="pct"/>
            <w:tcBorders>
              <w:top w:val="single" w:sz="4" w:space="0" w:color="auto"/>
              <w:left w:val="single" w:sz="4" w:space="0" w:color="auto"/>
              <w:bottom w:val="single" w:sz="4" w:space="0" w:color="auto"/>
            </w:tcBorders>
            <w:hideMark/>
          </w:tcPr>
          <w:p w:rsidR="00796684" w:rsidRPr="00BC1EF9" w:rsidRDefault="00796684" w:rsidP="00796684">
            <w:pPr>
              <w:spacing w:after="120"/>
              <w:rPr>
                <w:rFonts w:cs="Times New Roman"/>
                <w:sz w:val="22"/>
                <w:szCs w:val="22"/>
              </w:rPr>
            </w:pPr>
            <w:r>
              <w:rPr>
                <w:sz w:val="22"/>
                <w:szCs w:val="22"/>
              </w:rPr>
              <w:t xml:space="preserve">La pertinence de l’établissement pour le domaine de la jeunesse et les objectifs de l’action, en ce qui concerne: </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les objectifs et les principes de l’établissement; </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groupes cibles de l’établissement;</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activités régulières de l’établissement;</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l’expérience de l’établissement dans le domaine de la jeunesse. </w:t>
            </w:r>
          </w:p>
        </w:tc>
      </w:tr>
      <w:tr w:rsidR="00796684" w:rsidRPr="00796684" w:rsidTr="00DB512B">
        <w:trPr>
          <w:trHeight w:val="997"/>
        </w:trPr>
        <w:tc>
          <w:tcPr>
            <w:tcW w:w="966" w:type="pct"/>
            <w:tcBorders>
              <w:top w:val="single" w:sz="4" w:space="0" w:color="auto"/>
              <w:bottom w:val="single" w:sz="4" w:space="0" w:color="auto"/>
              <w:right w:val="single" w:sz="4" w:space="0" w:color="auto"/>
            </w:tcBorders>
            <w:vAlign w:val="center"/>
          </w:tcPr>
          <w:p w:rsidR="00796684" w:rsidRDefault="00796684" w:rsidP="00796684">
            <w:pPr>
              <w:spacing w:after="120"/>
              <w:rPr>
                <w:b/>
                <w:sz w:val="22"/>
                <w:szCs w:val="22"/>
              </w:rPr>
            </w:pPr>
            <w:r>
              <w:rPr>
                <w:b/>
                <w:sz w:val="22"/>
                <w:szCs w:val="22"/>
              </w:rPr>
              <w:t xml:space="preserve">Développement stratégique </w:t>
            </w:r>
          </w:p>
          <w:p w:rsidR="00796684" w:rsidRPr="00796684" w:rsidRDefault="00796684">
            <w:pPr>
              <w:spacing w:after="120"/>
            </w:pPr>
            <w:r>
              <w:rPr>
                <w:sz w:val="22"/>
                <w:szCs w:val="22"/>
              </w:rPr>
              <w:t>(</w:t>
            </w:r>
            <w:r w:rsidRPr="0063630B">
              <w:rPr>
                <w:sz w:val="22"/>
                <w:szCs w:val="22"/>
              </w:rPr>
              <w:t>40</w:t>
            </w:r>
            <w:r>
              <w:rPr>
                <w:sz w:val="22"/>
                <w:szCs w:val="22"/>
              </w:rPr>
              <w:t> points maximum)</w:t>
            </w:r>
          </w:p>
        </w:tc>
        <w:tc>
          <w:tcPr>
            <w:tcW w:w="4034" w:type="pct"/>
            <w:tcBorders>
              <w:top w:val="single" w:sz="4" w:space="0" w:color="auto"/>
              <w:left w:val="single" w:sz="4" w:space="0" w:color="auto"/>
              <w:bottom w:val="single" w:sz="4" w:space="0" w:color="auto"/>
            </w:tcBorders>
            <w:vAlign w:val="center"/>
            <w:hideMark/>
          </w:tcPr>
          <w:p w:rsidR="00796684" w:rsidRPr="00BC1EF9" w:rsidRDefault="00796684" w:rsidP="00796684">
            <w:pPr>
              <w:spacing w:after="120"/>
              <w:rPr>
                <w:rFonts w:cs="Times New Roman"/>
                <w:sz w:val="22"/>
                <w:szCs w:val="22"/>
              </w:rPr>
            </w:pPr>
            <w:r>
              <w:rPr>
                <w:sz w:val="22"/>
                <w:szCs w:val="22"/>
              </w:rPr>
              <w:t>La mesure dans laquelle:</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objectifs définis sont pertinents et conformes à ceux de l’action et contribuent à la stratégie de l’UE en faveur de la jeunesse</w:t>
            </w:r>
            <w:r>
              <w:rPr>
                <w:rStyle w:val="FootnoteReference"/>
                <w:rFonts w:asciiTheme="minorHAnsi" w:hAnsiTheme="minorHAnsi"/>
              </w:rPr>
              <w:footnoteReference w:id="4"/>
            </w:r>
            <w:r>
              <w:rPr>
                <w:rFonts w:asciiTheme="minorHAnsi" w:hAnsiTheme="minorHAnsi"/>
              </w:rPr>
              <w:t xml:space="preserve">; </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activités prévues sont appropriées pour répondre aux besoins et objectifs définis;</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les activités prévues apportent un réel avantage à l’établissement, aux participants et aux établissements participants et ont des retombées potentiellement plus vastes (par exemple, au niveau local, régional, national ou transnational); </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les objectifs et les activités prévues sont intégrés dans le travail et les </w:t>
            </w:r>
            <w:r>
              <w:rPr>
                <w:rFonts w:asciiTheme="minorHAnsi" w:hAnsiTheme="minorHAnsi"/>
              </w:rPr>
              <w:lastRenderedPageBreak/>
              <w:t xml:space="preserve">activités ordinaires de l’établissement; </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l’établissement contribue à la stratégie d’inclusion et de diversité du programme;</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l’établissement intègre dans ses activités un ou plusieurs principes de base (durabilité et responsabilité environnementales, participation active au réseau des établissements Erasmus, composantes virtuelles).</w:t>
            </w:r>
          </w:p>
        </w:tc>
      </w:tr>
      <w:tr w:rsidR="00796684" w:rsidRPr="00796684" w:rsidTr="00796684">
        <w:trPr>
          <w:trHeight w:val="20"/>
        </w:trPr>
        <w:tc>
          <w:tcPr>
            <w:tcW w:w="966" w:type="pct"/>
            <w:tcBorders>
              <w:top w:val="single" w:sz="4" w:space="0" w:color="auto"/>
              <w:bottom w:val="single" w:sz="4" w:space="0" w:color="auto"/>
              <w:right w:val="single" w:sz="4" w:space="0" w:color="auto"/>
            </w:tcBorders>
            <w:vAlign w:val="center"/>
          </w:tcPr>
          <w:p w:rsidR="00796684" w:rsidRDefault="00796684" w:rsidP="00BC1EF9">
            <w:pPr>
              <w:spacing w:after="120"/>
              <w:rPr>
                <w:b/>
                <w:sz w:val="22"/>
                <w:szCs w:val="22"/>
              </w:rPr>
            </w:pPr>
            <w:r>
              <w:rPr>
                <w:b/>
                <w:sz w:val="22"/>
                <w:szCs w:val="22"/>
              </w:rPr>
              <w:lastRenderedPageBreak/>
              <w:t>Qualité de la gestion et de la coordination</w:t>
            </w:r>
          </w:p>
          <w:p w:rsidR="00796684" w:rsidRPr="00796684" w:rsidRDefault="00796684" w:rsidP="00BC1EF9">
            <w:pPr>
              <w:spacing w:after="120"/>
            </w:pPr>
            <w:r>
              <w:rPr>
                <w:sz w:val="22"/>
                <w:szCs w:val="22"/>
              </w:rPr>
              <w:t>(</w:t>
            </w:r>
            <w:r w:rsidRPr="0063630B">
              <w:rPr>
                <w:sz w:val="22"/>
                <w:szCs w:val="22"/>
              </w:rPr>
              <w:t>40</w:t>
            </w:r>
            <w:r>
              <w:rPr>
                <w:sz w:val="22"/>
                <w:szCs w:val="22"/>
              </w:rPr>
              <w:t> points maximum)</w:t>
            </w:r>
          </w:p>
        </w:tc>
        <w:tc>
          <w:tcPr>
            <w:tcW w:w="4034" w:type="pct"/>
            <w:tcBorders>
              <w:top w:val="single" w:sz="4" w:space="0" w:color="auto"/>
              <w:left w:val="single" w:sz="4" w:space="0" w:color="auto"/>
              <w:bottom w:val="single" w:sz="4" w:space="0" w:color="auto"/>
            </w:tcBorders>
            <w:tcMar>
              <w:top w:w="0" w:type="dxa"/>
              <w:left w:w="108" w:type="dxa"/>
              <w:bottom w:w="0" w:type="dxa"/>
              <w:right w:w="108" w:type="dxa"/>
            </w:tcMar>
            <w:hideMark/>
          </w:tcPr>
          <w:p w:rsidR="00796684" w:rsidRPr="00BC1EF9" w:rsidRDefault="00796684" w:rsidP="00796684">
            <w:pPr>
              <w:spacing w:before="60" w:after="120"/>
              <w:rPr>
                <w:rFonts w:cs="Times New Roman"/>
                <w:sz w:val="22"/>
                <w:szCs w:val="22"/>
              </w:rPr>
            </w:pPr>
            <w:r>
              <w:rPr>
                <w:sz w:val="22"/>
                <w:szCs w:val="22"/>
              </w:rPr>
              <w:t>La mesure dans laquelle:</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les objectifs, les activités et les buts prévus sont clairs et réalistes en ce qui concerne les ressources humaines et l’organisation interne du demandeur; </w:t>
            </w:r>
          </w:p>
          <w:p w:rsidR="00796684" w:rsidRPr="00BC1EF9" w:rsidRDefault="00796684" w:rsidP="00796684">
            <w:pPr>
              <w:pStyle w:val="ListParagraph"/>
              <w:numPr>
                <w:ilvl w:val="0"/>
                <w:numId w:val="27"/>
              </w:numPr>
              <w:rPr>
                <w:rFonts w:asciiTheme="minorHAnsi" w:hAnsiTheme="minorHAnsi" w:cs="Times New Roman"/>
              </w:rPr>
            </w:pPr>
            <w:r>
              <w:rPr>
                <w:rFonts w:asciiTheme="minorHAnsi" w:hAnsiTheme="minorHAnsi"/>
              </w:rPr>
              <w:t>l’approche du partenariat est équilibrée et efficace et, le cas échéant, adaptée pour assurer la participation d’établissements nouveaux et moins expérimentés;</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 xml:space="preserve">les mesures visant à garantir la qualité des activités, ainsi que la sécurité et la protection des participants, sont appropriées; </w:t>
            </w:r>
          </w:p>
          <w:p w:rsidR="00796684" w:rsidRPr="00BC1EF9" w:rsidRDefault="00796684" w:rsidP="00796684">
            <w:pPr>
              <w:pStyle w:val="ListParagraph"/>
              <w:numPr>
                <w:ilvl w:val="0"/>
                <w:numId w:val="27"/>
              </w:numPr>
              <w:spacing w:after="120"/>
              <w:contextualSpacing/>
              <w:rPr>
                <w:rFonts w:asciiTheme="minorHAnsi" w:eastAsia="Times New Roman" w:hAnsiTheme="minorHAnsi" w:cs="Times New Roman"/>
              </w:rPr>
            </w:pPr>
            <w:r>
              <w:rPr>
                <w:rFonts w:asciiTheme="minorHAnsi" w:hAnsiTheme="minorHAnsi"/>
              </w:rPr>
              <w:t>le principe de la participation active des jeunes est appliqué et il est prévu d’associer les participants à toutes les phases des activités;</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mesures visant à garantir une dimension éducative importante//solide sont appropriées, y compris le soutien à la réflexion, à l’identification et à la documentation des acquis d’apprentissage;</w:t>
            </w:r>
          </w:p>
          <w:p w:rsidR="00796684" w:rsidRPr="00BC1EF9" w:rsidRDefault="00796684" w:rsidP="00796684">
            <w:pPr>
              <w:pStyle w:val="ListParagraph"/>
              <w:numPr>
                <w:ilvl w:val="0"/>
                <w:numId w:val="27"/>
              </w:numPr>
              <w:spacing w:after="120"/>
              <w:contextualSpacing/>
              <w:rPr>
                <w:rFonts w:asciiTheme="minorHAnsi" w:hAnsiTheme="minorHAnsi" w:cs="Times New Roman"/>
              </w:rPr>
            </w:pPr>
            <w:r>
              <w:rPr>
                <w:rFonts w:asciiTheme="minorHAnsi" w:hAnsiTheme="minorHAnsi"/>
              </w:rPr>
              <w:t>les méthodes utilisées pour mesurer les progrès accomplis par l’établissement dans la réalisation de ses objectifs (suivi et évaluation) et pour la gestion des risques sont appropriées et efficaces;</w:t>
            </w:r>
          </w:p>
          <w:p w:rsidR="004D50C8" w:rsidRPr="004D50C8" w:rsidRDefault="00796684" w:rsidP="004D50C8">
            <w:pPr>
              <w:pStyle w:val="ListParagraph"/>
              <w:numPr>
                <w:ilvl w:val="0"/>
                <w:numId w:val="27"/>
              </w:numPr>
              <w:ind w:left="357" w:hanging="357"/>
              <w:contextualSpacing/>
              <w:rPr>
                <w:rFonts w:asciiTheme="minorHAnsi" w:hAnsiTheme="minorHAnsi" w:cs="Times New Roman"/>
              </w:rPr>
            </w:pPr>
            <w:r>
              <w:rPr>
                <w:rFonts w:asciiTheme="minorHAnsi" w:hAnsiTheme="minorHAnsi"/>
              </w:rPr>
              <w:t>les mesures visant à diffuser les résultats du projet  parmi les établissements participants et en dehors de ceux-ci sont appropriées et efficaces.</w:t>
            </w:r>
          </w:p>
        </w:tc>
      </w:tr>
    </w:tbl>
    <w:p w:rsidR="00625F97" w:rsidRPr="00A871CB" w:rsidRDefault="00625F97" w:rsidP="00BC1EF9">
      <w:pPr>
        <w:pStyle w:val="Title"/>
        <w:keepNext/>
        <w:keepLines/>
        <w:spacing w:before="160" w:after="160" w:line="259" w:lineRule="auto"/>
        <w:ind w:left="357"/>
        <w:jc w:val="left"/>
        <w:rPr>
          <w:rFonts w:ascii="Calibri Light" w:eastAsiaTheme="majorEastAsia" w:hAnsi="Calibri Light" w:cs="Calibri Light"/>
          <w:b w:val="0"/>
          <w:color w:val="000000" w:themeColor="text1"/>
          <w:sz w:val="10"/>
          <w:szCs w:val="10"/>
          <w:lang w:eastAsia="en-US"/>
        </w:rPr>
      </w:pPr>
    </w:p>
    <w:p w:rsidR="004C5F5E" w:rsidRPr="00BC1EF9" w:rsidRDefault="004C5F5E" w:rsidP="00BC1EF9">
      <w:pPr>
        <w:pStyle w:val="Title"/>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26" w:name="_Toc45275177"/>
      <w:r>
        <w:rPr>
          <w:rFonts w:ascii="Calibri Light" w:hAnsi="Calibri Light"/>
          <w:b w:val="0"/>
          <w:smallCaps/>
          <w:color w:val="000000" w:themeColor="text1"/>
          <w:sz w:val="28"/>
          <w:szCs w:val="28"/>
        </w:rPr>
        <w:t>Attribution de l’accréditation Erasmus Jeunesse</w:t>
      </w:r>
      <w:bookmarkEnd w:id="26"/>
      <w:r>
        <w:rPr>
          <w:rFonts w:ascii="Calibri Light" w:hAnsi="Calibri Light"/>
          <w:b w:val="0"/>
          <w:smallCaps/>
          <w:color w:val="000000" w:themeColor="text1"/>
          <w:sz w:val="28"/>
          <w:szCs w:val="28"/>
        </w:rPr>
        <w:t xml:space="preserve">  </w:t>
      </w:r>
    </w:p>
    <w:p w:rsidR="004B61DE" w:rsidRPr="00BC1EF9" w:rsidRDefault="004B61DE">
      <w:pPr>
        <w:jc w:val="both"/>
        <w:rPr>
          <w:rFonts w:asciiTheme="minorHAnsi" w:hAnsiTheme="minorHAnsi"/>
          <w:sz w:val="22"/>
          <w:szCs w:val="22"/>
        </w:rPr>
      </w:pPr>
      <w:r>
        <w:rPr>
          <w:rFonts w:asciiTheme="minorHAnsi" w:hAnsiTheme="minorHAnsi"/>
          <w:sz w:val="22"/>
          <w:szCs w:val="22"/>
        </w:rPr>
        <w:t>Les demandeurs retenus signeront une convention avec l’agence nationale octroyant les accréditations et recevront un certificat attestant leur statut, assorti du logo du programme et des symboles de l’Union européenne.</w:t>
      </w:r>
    </w:p>
    <w:p w:rsidR="004B61DE" w:rsidRPr="00BC1EF9" w:rsidRDefault="004B61DE">
      <w:pPr>
        <w:jc w:val="both"/>
        <w:rPr>
          <w:rFonts w:asciiTheme="minorHAnsi" w:hAnsiTheme="minorHAnsi"/>
          <w:sz w:val="22"/>
          <w:szCs w:val="22"/>
        </w:rPr>
      </w:pPr>
    </w:p>
    <w:p w:rsidR="004B61DE" w:rsidRPr="00BC1EF9" w:rsidRDefault="004B61DE">
      <w:pPr>
        <w:jc w:val="both"/>
        <w:rPr>
          <w:rFonts w:asciiTheme="minorHAnsi" w:hAnsiTheme="minorHAnsi"/>
          <w:sz w:val="22"/>
          <w:szCs w:val="22"/>
        </w:rPr>
      </w:pPr>
      <w:r>
        <w:rPr>
          <w:rFonts w:asciiTheme="minorHAnsi" w:hAnsiTheme="minorHAnsi"/>
          <w:sz w:val="22"/>
          <w:szCs w:val="22"/>
        </w:rPr>
        <w:t>En répondant au présent appel, les demandeurs acceptent que leur identité (y compris toutes les données publiques figurant dans le système d’enregistrement) et le résultat de la sélection puissent être publiés par la Commission européenne et les agences nationales.</w:t>
      </w:r>
    </w:p>
    <w:p w:rsidR="00A63B6C" w:rsidRDefault="00A63B6C">
      <w:pPr>
        <w:jc w:val="both"/>
        <w:rPr>
          <w:rFonts w:asciiTheme="minorHAnsi" w:hAnsiTheme="minorHAnsi"/>
        </w:rPr>
      </w:pPr>
    </w:p>
    <w:p w:rsidR="004B61DE" w:rsidRPr="00A60F6B" w:rsidRDefault="004B61DE" w:rsidP="00A871CB">
      <w:pPr>
        <w:pStyle w:val="Title"/>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27" w:name="_Toc45275178"/>
      <w:r>
        <w:rPr>
          <w:rFonts w:ascii="Calibri Light" w:hAnsi="Calibri Light"/>
          <w:b w:val="0"/>
          <w:smallCaps/>
          <w:color w:val="000000" w:themeColor="text1"/>
          <w:sz w:val="28"/>
          <w:szCs w:val="28"/>
        </w:rPr>
        <w:t>Validité</w:t>
      </w:r>
      <w:bookmarkEnd w:id="27"/>
      <w:r>
        <w:rPr>
          <w:rFonts w:ascii="Calibri Light" w:hAnsi="Calibri Light"/>
          <w:b w:val="0"/>
          <w:smallCaps/>
          <w:color w:val="000000" w:themeColor="text1"/>
          <w:sz w:val="28"/>
          <w:szCs w:val="28"/>
        </w:rPr>
        <w:t xml:space="preserve">  </w:t>
      </w:r>
    </w:p>
    <w:p w:rsidR="004B61DE" w:rsidRPr="00BC1EF9" w:rsidRDefault="004B61DE" w:rsidP="00BC1EF9">
      <w:pPr>
        <w:spacing w:before="200" w:after="200"/>
        <w:jc w:val="both"/>
        <w:rPr>
          <w:rFonts w:asciiTheme="minorHAnsi" w:hAnsiTheme="minorHAnsi" w:cstheme="minorHAnsi"/>
          <w:sz w:val="22"/>
          <w:szCs w:val="22"/>
        </w:rPr>
      </w:pPr>
      <w:r>
        <w:rPr>
          <w:rFonts w:asciiTheme="minorHAnsi" w:hAnsiTheme="minorHAnsi"/>
          <w:sz w:val="22"/>
          <w:szCs w:val="22"/>
        </w:rPr>
        <w:t xml:space="preserve">L’accréditation Erasmus est accordée pour la période </w:t>
      </w:r>
      <w:r w:rsidRPr="0063630B">
        <w:rPr>
          <w:rFonts w:asciiTheme="minorHAnsi" w:hAnsiTheme="minorHAnsi"/>
          <w:sz w:val="22"/>
          <w:szCs w:val="22"/>
        </w:rPr>
        <w:t>2021</w:t>
      </w:r>
      <w:r>
        <w:rPr>
          <w:rFonts w:asciiTheme="minorHAnsi" w:hAnsiTheme="minorHAnsi"/>
          <w:sz w:val="22"/>
          <w:szCs w:val="22"/>
        </w:rPr>
        <w:t>-</w:t>
      </w:r>
      <w:r w:rsidRPr="0063630B">
        <w:rPr>
          <w:rFonts w:asciiTheme="minorHAnsi" w:hAnsiTheme="minorHAnsi"/>
          <w:sz w:val="22"/>
          <w:szCs w:val="22"/>
        </w:rPr>
        <w:t>2027</w:t>
      </w:r>
      <w:r>
        <w:rPr>
          <w:rFonts w:asciiTheme="minorHAnsi" w:hAnsiTheme="minorHAnsi"/>
          <w:sz w:val="22"/>
          <w:szCs w:val="22"/>
        </w:rPr>
        <w:t>, sous réserve d’un suivi régulier et d’un respect constant des exigences et des instructions applicables à l’accréditation et émises par l’agence nationale de supervision.</w:t>
      </w:r>
    </w:p>
    <w:p w:rsidR="0052221C" w:rsidRPr="00A443F0" w:rsidRDefault="0052221C" w:rsidP="0052221C">
      <w:pPr>
        <w:spacing w:before="200" w:after="200"/>
        <w:jc w:val="both"/>
        <w:rPr>
          <w:rFonts w:asciiTheme="minorHAnsi" w:hAnsiTheme="minorHAnsi" w:cstheme="minorHAnsi"/>
          <w:sz w:val="22"/>
          <w:szCs w:val="22"/>
        </w:rPr>
      </w:pPr>
      <w:r>
        <w:rPr>
          <w:rFonts w:asciiTheme="minorHAnsi" w:hAnsiTheme="minorHAnsi"/>
          <w:sz w:val="22"/>
          <w:szCs w:val="22"/>
        </w:rPr>
        <w:t>Afin de garantir une planification réaliste, le plan d’activités présenté dans le cadre de la demande pourrait couvrir une période de trois à sept ans, et sera mis à jour régulièrement comme expliqué à la section </w:t>
      </w:r>
      <w:r w:rsidRPr="0063630B">
        <w:rPr>
          <w:rFonts w:asciiTheme="minorHAnsi" w:hAnsiTheme="minorHAnsi"/>
          <w:sz w:val="22"/>
          <w:szCs w:val="22"/>
        </w:rPr>
        <w:t>10</w:t>
      </w:r>
      <w:r>
        <w:rPr>
          <w:rFonts w:asciiTheme="minorHAnsi" w:hAnsiTheme="minorHAnsi"/>
          <w:sz w:val="22"/>
          <w:szCs w:val="22"/>
        </w:rPr>
        <w:t>.</w:t>
      </w:r>
    </w:p>
    <w:p w:rsidR="004B61DE" w:rsidRDefault="004B61DE">
      <w:pPr>
        <w:spacing w:before="200" w:after="200"/>
        <w:jc w:val="both"/>
        <w:rPr>
          <w:rFonts w:asciiTheme="minorHAnsi" w:hAnsiTheme="minorHAnsi" w:cstheme="minorHAnsi"/>
          <w:sz w:val="22"/>
          <w:szCs w:val="22"/>
        </w:rPr>
      </w:pPr>
      <w:r>
        <w:rPr>
          <w:rFonts w:asciiTheme="minorHAnsi" w:hAnsiTheme="minorHAnsi"/>
          <w:sz w:val="22"/>
          <w:szCs w:val="22"/>
        </w:rPr>
        <w:t xml:space="preserve">Il peut être mis fin à l’accréditation à tout moment si l’établissement cesse d’exister, ou en vertu d’un accord entre l’agence nationale et l’établissement accrédité. </w:t>
      </w:r>
    </w:p>
    <w:p w:rsidR="004B61DE" w:rsidRDefault="004B61DE">
      <w:pPr>
        <w:spacing w:before="200" w:after="200"/>
        <w:jc w:val="both"/>
        <w:rPr>
          <w:rFonts w:asciiTheme="minorHAnsi" w:hAnsiTheme="minorHAnsi" w:cstheme="minorHAnsi"/>
          <w:sz w:val="22"/>
          <w:szCs w:val="22"/>
        </w:rPr>
      </w:pPr>
      <w:r>
        <w:rPr>
          <w:rFonts w:asciiTheme="minorHAnsi" w:hAnsiTheme="minorHAnsi"/>
          <w:sz w:val="22"/>
          <w:szCs w:val="22"/>
        </w:rPr>
        <w:lastRenderedPageBreak/>
        <w:t xml:space="preserve">L’agence nationale ou l’établissement accrédité peuvent mettre fin unilatéralement à l’accréditation si aucune demande de financement n’a été présentée au titre de cette accréditation au cours d’une période d’au moins trois ans. </w:t>
      </w:r>
    </w:p>
    <w:p w:rsidR="004B61DE" w:rsidRDefault="004B61DE" w:rsidP="00A871CB">
      <w:pPr>
        <w:spacing w:before="200"/>
        <w:jc w:val="both"/>
        <w:rPr>
          <w:rFonts w:asciiTheme="minorHAnsi" w:hAnsiTheme="minorHAnsi" w:cstheme="minorHAnsi"/>
          <w:sz w:val="22"/>
          <w:szCs w:val="22"/>
        </w:rPr>
      </w:pPr>
      <w:r>
        <w:rPr>
          <w:rFonts w:asciiTheme="minorHAnsi" w:hAnsiTheme="minorHAnsi"/>
          <w:sz w:val="22"/>
          <w:szCs w:val="22"/>
        </w:rPr>
        <w:t xml:space="preserve">Si l’accréditation Erasmus est requise pour participer à une action après la fin de la période de programmation </w:t>
      </w:r>
      <w:r w:rsidRPr="0063630B">
        <w:rPr>
          <w:rFonts w:asciiTheme="minorHAnsi" w:hAnsiTheme="minorHAnsi"/>
          <w:sz w:val="22"/>
          <w:szCs w:val="22"/>
        </w:rPr>
        <w:t>2021</w:t>
      </w:r>
      <w:r>
        <w:rPr>
          <w:rFonts w:asciiTheme="minorHAnsi" w:hAnsiTheme="minorHAnsi"/>
          <w:sz w:val="22"/>
          <w:szCs w:val="22"/>
        </w:rPr>
        <w:t>-</w:t>
      </w:r>
      <w:r w:rsidRPr="0063630B">
        <w:rPr>
          <w:rFonts w:asciiTheme="minorHAnsi" w:hAnsiTheme="minorHAnsi"/>
          <w:sz w:val="22"/>
          <w:szCs w:val="22"/>
        </w:rPr>
        <w:t>2027</w:t>
      </w:r>
      <w:r>
        <w:rPr>
          <w:rFonts w:asciiTheme="minorHAnsi" w:hAnsiTheme="minorHAnsi"/>
          <w:sz w:val="22"/>
          <w:szCs w:val="22"/>
        </w:rPr>
        <w:t>, l’agence nationale pourra prolonger la durée de validité de l’accréditation conformément aux conditions fixées par la Commission européenne.</w:t>
      </w:r>
    </w:p>
    <w:p w:rsidR="00A871CB" w:rsidRDefault="00A871CB" w:rsidP="00A871CB">
      <w:pPr>
        <w:jc w:val="both"/>
        <w:rPr>
          <w:rFonts w:asciiTheme="minorHAnsi" w:hAnsiTheme="minorHAnsi" w:cstheme="minorHAnsi"/>
          <w:sz w:val="22"/>
          <w:szCs w:val="22"/>
        </w:rPr>
      </w:pPr>
    </w:p>
    <w:p w:rsidR="00162DEE" w:rsidRPr="00A871CB" w:rsidRDefault="00162DEE" w:rsidP="00A871CB">
      <w:pPr>
        <w:pStyle w:val="Title"/>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28" w:name="_Toc45275179"/>
      <w:r>
        <w:rPr>
          <w:rFonts w:ascii="Calibri Light" w:hAnsi="Calibri Light"/>
          <w:b w:val="0"/>
          <w:smallCaps/>
          <w:color w:val="000000" w:themeColor="text1"/>
          <w:sz w:val="28"/>
          <w:szCs w:val="28"/>
        </w:rPr>
        <w:t>Rapports, suivi et assurance de la qualité</w:t>
      </w:r>
      <w:bookmarkEnd w:id="28"/>
    </w:p>
    <w:p w:rsidR="00162DEE" w:rsidRPr="00BC1EF9" w:rsidRDefault="00162DEE" w:rsidP="00BC1EF9">
      <w:pPr>
        <w:pStyle w:val="Title"/>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29" w:name="_Toc42670958"/>
      <w:bookmarkStart w:id="30" w:name="_Toc45275180"/>
      <w:r>
        <w:rPr>
          <w:rFonts w:ascii="Calibri Light" w:hAnsi="Calibri Light"/>
          <w:b w:val="0"/>
          <w:smallCaps/>
          <w:color w:val="000000" w:themeColor="text1"/>
          <w:sz w:val="24"/>
          <w:szCs w:val="24"/>
        </w:rPr>
        <w:t>Rapports</w:t>
      </w:r>
      <w:bookmarkEnd w:id="29"/>
      <w:bookmarkEnd w:id="30"/>
      <w:r>
        <w:rPr>
          <w:rFonts w:ascii="Calibri Light" w:hAnsi="Calibri Light"/>
          <w:b w:val="0"/>
          <w:smallCaps/>
          <w:color w:val="000000" w:themeColor="text1"/>
          <w:sz w:val="24"/>
          <w:szCs w:val="24"/>
        </w:rPr>
        <w:t xml:space="preserve"> </w:t>
      </w:r>
    </w:p>
    <w:p w:rsidR="00C90531" w:rsidRDefault="00C90531" w:rsidP="00DB512B">
      <w:pPr>
        <w:spacing w:before="60" w:after="120"/>
        <w:jc w:val="both"/>
        <w:rPr>
          <w:rFonts w:asciiTheme="minorHAnsi" w:hAnsiTheme="minorHAnsi"/>
          <w:sz w:val="22"/>
          <w:szCs w:val="22"/>
          <w:u w:val="single"/>
        </w:rPr>
      </w:pPr>
      <w:r>
        <w:rPr>
          <w:rFonts w:asciiTheme="minorHAnsi" w:hAnsiTheme="minorHAnsi"/>
          <w:sz w:val="22"/>
          <w:szCs w:val="22"/>
          <w:u w:val="single"/>
        </w:rPr>
        <w:t>Rapports d’avancement de l’établissement accrédité</w:t>
      </w:r>
    </w:p>
    <w:p w:rsidR="00162DEE" w:rsidRPr="00BC1EF9" w:rsidRDefault="00162DEE" w:rsidP="00F45FB6">
      <w:pPr>
        <w:spacing w:after="60"/>
        <w:jc w:val="both"/>
        <w:rPr>
          <w:rFonts w:asciiTheme="minorHAnsi" w:hAnsiTheme="minorHAnsi"/>
          <w:sz w:val="22"/>
          <w:szCs w:val="22"/>
        </w:rPr>
      </w:pPr>
      <w:r>
        <w:rPr>
          <w:rFonts w:asciiTheme="minorHAnsi" w:hAnsiTheme="minorHAnsi"/>
          <w:sz w:val="22"/>
          <w:szCs w:val="22"/>
        </w:rPr>
        <w:t>Au moins une fois au cours de la période de validité de l’accréditation, les établissements devront:</w:t>
      </w:r>
    </w:p>
    <w:p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rédiger un rapport exposant la manière dont ils progressent vers la réalisation de leurs objectifs; </w:t>
      </w:r>
    </w:p>
    <w:p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rédiger un rapport décrivant comment ils garantissent le respect des normes de qualité Erasmus Jeunesse; et </w:t>
      </w:r>
    </w:p>
    <w:p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mettre à jour leur plan d’activités. </w:t>
      </w:r>
    </w:p>
    <w:p w:rsidR="00625F97" w:rsidRPr="00B90B66" w:rsidRDefault="00162DEE" w:rsidP="00625F97">
      <w:pPr>
        <w:spacing w:beforeLines="40" w:before="96" w:afterLines="40" w:after="96"/>
        <w:jc w:val="both"/>
        <w:rPr>
          <w:rFonts w:asciiTheme="minorHAnsi" w:hAnsiTheme="minorHAnsi"/>
          <w:sz w:val="22"/>
          <w:szCs w:val="22"/>
        </w:rPr>
      </w:pPr>
      <w:r>
        <w:rPr>
          <w:rFonts w:asciiTheme="minorHAnsi" w:hAnsiTheme="minorHAnsi"/>
          <w:sz w:val="22"/>
          <w:szCs w:val="22"/>
        </w:rPr>
        <w:t>L’agence nationale pourra décider de demander, simultanément ou séparément, un rapport d’avancement sur les différents éléments énumérés ci-dessus. Elle pourra décider de remplacer les exigences en matière de rapports sur les objectifs et les normes qualitatives Erasmus Jeunesse par une visite de suivi.</w:t>
      </w:r>
    </w:p>
    <w:p w:rsidR="00625F97" w:rsidRDefault="00625F97" w:rsidP="00162DEE">
      <w:pPr>
        <w:spacing w:beforeLines="40" w:before="96" w:afterLines="40" w:after="96"/>
        <w:jc w:val="both"/>
        <w:rPr>
          <w:rFonts w:asciiTheme="minorHAnsi" w:hAnsiTheme="minorHAnsi"/>
          <w:sz w:val="22"/>
          <w:szCs w:val="22"/>
        </w:rPr>
      </w:pPr>
      <w:r>
        <w:rPr>
          <w:rFonts w:asciiTheme="minorHAnsi" w:hAnsiTheme="minorHAnsi"/>
          <w:sz w:val="22"/>
          <w:szCs w:val="22"/>
        </w:rPr>
        <w:t>En fonction des résultats obtenus par l’établissement accrédité, constatés dans les rapports, lors du suivi et des contrôles d’assurance de la qualité, ou du fait de changements importants dans l’établissement, l’agence nationale pourra modifier le nombre et le calendrier des rapports d’avancement.</w:t>
      </w:r>
    </w:p>
    <w:p w:rsidR="00162DEE" w:rsidRDefault="00625F97" w:rsidP="00162DEE">
      <w:pPr>
        <w:spacing w:before="60" w:after="120"/>
        <w:jc w:val="both"/>
        <w:rPr>
          <w:rFonts w:asciiTheme="minorHAnsi" w:hAnsiTheme="minorHAnsi"/>
          <w:sz w:val="22"/>
          <w:szCs w:val="22"/>
        </w:rPr>
      </w:pPr>
      <w:r>
        <w:rPr>
          <w:rFonts w:asciiTheme="minorHAnsi" w:hAnsiTheme="minorHAnsi"/>
          <w:sz w:val="22"/>
          <w:szCs w:val="22"/>
        </w:rPr>
        <w:t xml:space="preserve">Les établissements accrédités peuvent demander spontanément la mise à jour de leur accréditation. L’agence nationale décidera, eu égard aux motifs avancés par l’établissement, si cette mise à jour est justifiée et acceptable. </w:t>
      </w:r>
    </w:p>
    <w:p w:rsidR="00C90531" w:rsidRPr="00DB512B" w:rsidRDefault="00C90531" w:rsidP="00162DEE">
      <w:pPr>
        <w:spacing w:before="60" w:after="120"/>
        <w:jc w:val="both"/>
        <w:rPr>
          <w:rFonts w:asciiTheme="minorHAnsi" w:hAnsiTheme="minorHAnsi"/>
          <w:sz w:val="22"/>
          <w:szCs w:val="22"/>
          <w:u w:val="single"/>
        </w:rPr>
      </w:pPr>
      <w:r>
        <w:rPr>
          <w:rFonts w:asciiTheme="minorHAnsi" w:hAnsiTheme="minorHAnsi"/>
          <w:sz w:val="22"/>
          <w:szCs w:val="22"/>
          <w:u w:val="single"/>
        </w:rPr>
        <w:t>Rapports de clôture à l’expiration de chaque convention de subvention</w:t>
      </w:r>
    </w:p>
    <w:p w:rsidR="00625F97" w:rsidRPr="00BC1EF9" w:rsidRDefault="00C90531" w:rsidP="00BC1EF9">
      <w:pPr>
        <w:spacing w:beforeLines="40" w:before="96" w:afterLines="40" w:after="96"/>
        <w:jc w:val="both"/>
        <w:rPr>
          <w:rFonts w:asciiTheme="minorHAnsi" w:hAnsiTheme="minorHAnsi" w:cstheme="minorHAnsi"/>
          <w:sz w:val="22"/>
          <w:szCs w:val="22"/>
        </w:rPr>
      </w:pPr>
      <w:r>
        <w:rPr>
          <w:rFonts w:asciiTheme="minorHAnsi" w:hAnsiTheme="minorHAnsi"/>
          <w:sz w:val="22"/>
          <w:szCs w:val="22"/>
        </w:rPr>
        <w:t xml:space="preserve">À l’expiration de la période couverte par chaque convention de subvention approuvée au titre de l’accréditation Erasmus, l’établissement accrédité communiquera un rapport de clôture sur les activités menées et les objectifs atteints. </w:t>
      </w:r>
    </w:p>
    <w:p w:rsidR="00162DEE" w:rsidRPr="00BC1EF9" w:rsidRDefault="00E73041" w:rsidP="00BC1EF9">
      <w:pPr>
        <w:pStyle w:val="Title"/>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1" w:name="_Toc42670959"/>
      <w:bookmarkStart w:id="32" w:name="_Toc45275181"/>
      <w:r>
        <w:rPr>
          <w:rFonts w:ascii="Calibri Light" w:hAnsi="Calibri Light"/>
          <w:b w:val="0"/>
          <w:smallCaps/>
          <w:color w:val="000000" w:themeColor="text1"/>
          <w:sz w:val="24"/>
          <w:szCs w:val="24"/>
        </w:rPr>
        <w:t>Suivi et contrôles</w:t>
      </w:r>
      <w:bookmarkEnd w:id="31"/>
      <w:bookmarkEnd w:id="32"/>
      <w:r>
        <w:rPr>
          <w:rFonts w:ascii="Calibri Light" w:hAnsi="Calibri Light"/>
          <w:b w:val="0"/>
          <w:smallCaps/>
          <w:color w:val="000000" w:themeColor="text1"/>
          <w:sz w:val="24"/>
          <w:szCs w:val="24"/>
        </w:rPr>
        <w:t xml:space="preserve"> </w:t>
      </w:r>
    </w:p>
    <w:p w:rsidR="00E73041" w:rsidRPr="00BC1EF9" w:rsidRDefault="00E73041" w:rsidP="00E73041">
      <w:pPr>
        <w:spacing w:before="60" w:after="120"/>
        <w:jc w:val="both"/>
        <w:rPr>
          <w:rFonts w:asciiTheme="minorHAnsi" w:hAnsiTheme="minorHAnsi"/>
          <w:sz w:val="22"/>
          <w:szCs w:val="22"/>
        </w:rPr>
      </w:pPr>
      <w:r>
        <w:rPr>
          <w:rFonts w:asciiTheme="minorHAnsi" w:hAnsiTheme="minorHAnsi"/>
          <w:sz w:val="22"/>
          <w:szCs w:val="22"/>
        </w:rPr>
        <w:t>L’agence nationale pourra organiser des visites de suivi, des contrôles formels ou d’autres actions en vue de suivre les progrès et les résultats des établissements accrédités, évaluer le respect des normes de qualité convenues et apporter un soutien.</w:t>
      </w:r>
    </w:p>
    <w:p w:rsidR="00162DEE" w:rsidRPr="00BC1EF9" w:rsidRDefault="00E73041" w:rsidP="00E73041">
      <w:pPr>
        <w:spacing w:before="60" w:after="120"/>
        <w:jc w:val="both"/>
        <w:rPr>
          <w:rFonts w:asciiTheme="minorHAnsi" w:hAnsiTheme="minorHAnsi"/>
          <w:sz w:val="22"/>
          <w:szCs w:val="22"/>
        </w:rPr>
      </w:pPr>
      <w:r>
        <w:rPr>
          <w:rFonts w:asciiTheme="minorHAnsi" w:hAnsiTheme="minorHAnsi"/>
          <w:sz w:val="22"/>
          <w:szCs w:val="22"/>
        </w:rPr>
        <w:t>Les contrôles formels pourront prendre la forme de vérifications documentaires ou de visites de l’établissement et de tout autre lieu où se déroulent ou se sont déroulées les activités concernées. L’agence nationale pourra demander l’assistance des agences nationales ou d’experts externes d’autres pays aux fins du contrôle et du suivi des activités qui se déroulent dans ces autres pays.</w:t>
      </w:r>
    </w:p>
    <w:p w:rsidR="00C90531" w:rsidRPr="00BC1EF9" w:rsidRDefault="00C90531" w:rsidP="00C90531">
      <w:pPr>
        <w:pStyle w:val="Title"/>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3" w:name="_Toc42670960"/>
      <w:bookmarkStart w:id="34" w:name="_Toc45275182"/>
      <w:r>
        <w:rPr>
          <w:rFonts w:ascii="Calibri Light" w:hAnsi="Calibri Light"/>
          <w:b w:val="0"/>
          <w:smallCaps/>
          <w:color w:val="000000" w:themeColor="text1"/>
          <w:sz w:val="24"/>
          <w:szCs w:val="24"/>
        </w:rPr>
        <w:lastRenderedPageBreak/>
        <w:t>Assurance de la qualité</w:t>
      </w:r>
      <w:bookmarkEnd w:id="33"/>
      <w:bookmarkEnd w:id="34"/>
      <w:r>
        <w:rPr>
          <w:rFonts w:ascii="Calibri Light" w:hAnsi="Calibri Light"/>
          <w:b w:val="0"/>
          <w:smallCaps/>
          <w:color w:val="000000" w:themeColor="text1"/>
          <w:sz w:val="24"/>
          <w:szCs w:val="24"/>
        </w:rPr>
        <w:t xml:space="preserve"> </w:t>
      </w:r>
    </w:p>
    <w:p w:rsidR="00E73041" w:rsidRDefault="00E73041" w:rsidP="00DB512B">
      <w:pPr>
        <w:spacing w:before="60"/>
        <w:jc w:val="both"/>
        <w:rPr>
          <w:rFonts w:asciiTheme="minorHAnsi" w:hAnsiTheme="minorHAnsi"/>
          <w:sz w:val="22"/>
          <w:szCs w:val="22"/>
        </w:rPr>
      </w:pPr>
      <w:r>
        <w:rPr>
          <w:rFonts w:asciiTheme="minorHAnsi" w:hAnsiTheme="minorHAnsi"/>
          <w:sz w:val="22"/>
          <w:szCs w:val="22"/>
        </w:rPr>
        <w:t>À la suite d’un rapport ou d’une activité de suivi, l’agence nationale fournira un retour d’information aux établissements accrédités. Elle pourra également adresser des instructions contraignantes ou des conseils à l’établissement accrédité sur la manière d’améliorer ses résultats.</w:t>
      </w:r>
    </w:p>
    <w:p w:rsidR="00DB512B" w:rsidRPr="00BC1EF9" w:rsidRDefault="00DB512B" w:rsidP="00DB512B">
      <w:pPr>
        <w:spacing w:before="60"/>
        <w:jc w:val="both"/>
        <w:rPr>
          <w:rFonts w:asciiTheme="minorHAnsi" w:hAnsiTheme="minorHAnsi"/>
          <w:sz w:val="22"/>
          <w:szCs w:val="22"/>
        </w:rPr>
      </w:pPr>
    </w:p>
    <w:p w:rsidR="000830DF" w:rsidRPr="00BC1EF9" w:rsidRDefault="0046056F" w:rsidP="00DB512B">
      <w:pPr>
        <w:pStyle w:val="Title"/>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r>
        <w:rPr>
          <w:rFonts w:ascii="Calibri Light" w:hAnsi="Calibri Light"/>
          <w:b w:val="0"/>
          <w:smallCaps/>
          <w:color w:val="000000" w:themeColor="text1"/>
          <w:sz w:val="28"/>
          <w:szCs w:val="28"/>
        </w:rPr>
        <w:t xml:space="preserve"> </w:t>
      </w:r>
      <w:bookmarkStart w:id="35" w:name="_Toc45275183"/>
      <w:r>
        <w:rPr>
          <w:rFonts w:ascii="Calibri Light" w:hAnsi="Calibri Light"/>
          <w:b w:val="0"/>
          <w:smallCaps/>
          <w:color w:val="000000" w:themeColor="text1"/>
          <w:sz w:val="28"/>
          <w:szCs w:val="28"/>
        </w:rPr>
        <w:t>Mesures correctives</w:t>
      </w:r>
      <w:bookmarkEnd w:id="35"/>
    </w:p>
    <w:p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 xml:space="preserve">Dans le cas de demandeurs nouvellement accrédités, d’établissements à haut risque, ou en cas de non-respect des instructions données et délais fixés par l’agence nationale, de résultats médiocres constatés dans les rapports, lors du suivi et des contrôles d’assurance de la qualité, ou en cas de violations des règles du programme (y compris dans le cadre d’une autre action), l’agence nationale pourra prendre les mesures correctives suivantes. </w:t>
      </w:r>
    </w:p>
    <w:p w:rsidR="0046056F" w:rsidRDefault="0046056F" w:rsidP="0046056F">
      <w:pPr>
        <w:pStyle w:val="ListParagraph"/>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Mise sous observation: l’agence nationale pourra limiter le niveau des financements auxquels l’établissement accrédité pourra prétendre en faveur d’actions pour lesquelles l’accréditation Erasmus est exigée. </w:t>
      </w:r>
    </w:p>
    <w:p w:rsidR="0046056F" w:rsidRDefault="0046056F" w:rsidP="0046056F">
      <w:pPr>
        <w:pStyle w:val="ListParagraph"/>
        <w:spacing w:before="200" w:after="200"/>
        <w:ind w:left="357"/>
        <w:jc w:val="both"/>
        <w:rPr>
          <w:rFonts w:asciiTheme="minorHAnsi" w:hAnsiTheme="minorHAnsi" w:cstheme="minorHAnsi"/>
        </w:rPr>
      </w:pPr>
      <w:r>
        <w:rPr>
          <w:rFonts w:asciiTheme="minorHAnsi" w:hAnsiTheme="minorHAnsi"/>
        </w:rPr>
        <w:t xml:space="preserve">Les établissements nouvellement accrédités pourront être mis sous observation si le contrôle de la capacité opérationnelle fait apparaître un risque de mise en œuvre de piètre qualité. </w:t>
      </w:r>
    </w:p>
    <w:p w:rsidR="0046056F" w:rsidRDefault="0046056F" w:rsidP="0046056F">
      <w:pPr>
        <w:pStyle w:val="ListParagraph"/>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Suspension: les établissements suspendus ne pourront solliciter aucun financement en faveur d’actions pour lesquelles l’accréditation Erasmus est exigée. L’agence nationale pourra également mettre fin à certaines ou à toutes les conventions de subvention en cours conclues au titre de l’accréditation suspendue.</w:t>
      </w:r>
    </w:p>
    <w:p w:rsidR="0046056F" w:rsidRPr="002019D3"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La période de mise sous observation ou de suspension se poursuivra jusqu’à ce que l’agence nationale établisse que les conditions et les exigences de qualité fixées dans le présent appel sont à nouveau remplies et que l’établissement accrédité a écarté le risque de mauvais résultats.</w:t>
      </w:r>
    </w:p>
    <w:p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Les établissements mis sous observation ou dont l’accréditation aura été suspendue ne pourront demander une nouvelle accréditation.</w:t>
      </w:r>
    </w:p>
    <w:p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En cas de non-respect persistant des instructions données et des délais fixés par l’agence nationale, et en cas de résultats médiocres ou de violations répétées ou majeures des règles du programme (y compris dans le cadre d’une autre action), l’agence nationale pourra mettre fin à l’accréditation.</w:t>
      </w:r>
    </w:p>
    <w:p w:rsidR="00FC28CD" w:rsidRPr="00BC1EF9" w:rsidRDefault="00FC28CD"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36" w:name="_Toc45275184"/>
      <w:r>
        <w:rPr>
          <w:rFonts w:ascii="Calibri Light" w:hAnsi="Calibri Light"/>
          <w:b w:val="0"/>
          <w:smallCaps/>
          <w:color w:val="000000" w:themeColor="text1"/>
          <w:sz w:val="28"/>
          <w:szCs w:val="28"/>
        </w:rPr>
        <w:t>Accès des demandeurs retenus aux financements</w:t>
      </w:r>
      <w:bookmarkEnd w:id="36"/>
    </w:p>
    <w:p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37" w:name="_Toc42670963"/>
      <w:bookmarkStart w:id="38" w:name="_Toc45275185"/>
      <w:r>
        <w:rPr>
          <w:rFonts w:asciiTheme="minorHAnsi" w:hAnsiTheme="minorHAnsi"/>
          <w:b w:val="0"/>
          <w:smallCaps w:val="0"/>
          <w:sz w:val="22"/>
          <w:szCs w:val="22"/>
        </w:rPr>
        <w:t>Les demandeurs ayant obtenu une accréditation Erasmus Jeunesse bénéficieront d’un accès simplifié aux possibilités de financement qui seront offertes au titre de l’action clé nº </w:t>
      </w:r>
      <w:r w:rsidRPr="0063630B">
        <w:rPr>
          <w:rFonts w:asciiTheme="minorHAnsi" w:hAnsiTheme="minorHAnsi"/>
          <w:b w:val="0"/>
          <w:smallCaps w:val="0"/>
          <w:sz w:val="22"/>
          <w:szCs w:val="22"/>
        </w:rPr>
        <w:t>1</w:t>
      </w:r>
      <w:r>
        <w:rPr>
          <w:rFonts w:asciiTheme="minorHAnsi" w:hAnsiTheme="minorHAnsi"/>
          <w:b w:val="0"/>
          <w:smallCaps w:val="0"/>
          <w:sz w:val="22"/>
          <w:szCs w:val="22"/>
        </w:rPr>
        <w:t xml:space="preserve"> dans le domaine de la jeunesse pendant la durée de validité de l’accréditation</w:t>
      </w:r>
      <w:r>
        <w:rPr>
          <w:rStyle w:val="FootnoteReference"/>
          <w:rFonts w:asciiTheme="minorHAnsi" w:eastAsia="SimSun" w:hAnsiTheme="minorHAnsi" w:cstheme="minorHAnsi"/>
          <w:b w:val="0"/>
          <w:smallCaps w:val="0"/>
          <w:sz w:val="22"/>
          <w:szCs w:val="22"/>
        </w:rPr>
        <w:footnoteReference w:id="5"/>
      </w:r>
      <w:r>
        <w:rPr>
          <w:rFonts w:asciiTheme="minorHAnsi" w:hAnsiTheme="minorHAnsi"/>
          <w:b w:val="0"/>
          <w:smallCaps w:val="0"/>
          <w:sz w:val="22"/>
          <w:szCs w:val="22"/>
        </w:rPr>
        <w:t>.</w:t>
      </w:r>
      <w:bookmarkEnd w:id="37"/>
      <w:bookmarkEnd w:id="38"/>
      <w:r>
        <w:rPr>
          <w:rFonts w:asciiTheme="minorHAnsi" w:hAnsiTheme="minorHAnsi"/>
          <w:b w:val="0"/>
          <w:smallCaps w:val="0"/>
          <w:sz w:val="22"/>
          <w:szCs w:val="22"/>
        </w:rPr>
        <w:t xml:space="preserve"> </w:t>
      </w:r>
    </w:p>
    <w:p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39" w:name="_Toc42670964"/>
      <w:bookmarkStart w:id="40" w:name="_Toc45275186"/>
      <w:r>
        <w:rPr>
          <w:rFonts w:asciiTheme="minorHAnsi" w:hAnsiTheme="minorHAnsi"/>
          <w:b w:val="0"/>
          <w:smallCaps w:val="0"/>
          <w:sz w:val="22"/>
          <w:szCs w:val="22"/>
        </w:rPr>
        <w:t>Les subventions annuelles accordées aux demandeurs accrédités dépendront d’un certain nombre de critères, notamment les résultats constatés dans les rapports et lors d’exercices de suivi, les priorités fixées annuellement et le budget disponible pour l’action.</w:t>
      </w:r>
      <w:bookmarkEnd w:id="39"/>
      <w:bookmarkEnd w:id="40"/>
    </w:p>
    <w:p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41" w:name="_Toc42670965"/>
      <w:bookmarkStart w:id="42" w:name="_Toc45275187"/>
      <w:r>
        <w:rPr>
          <w:rFonts w:asciiTheme="minorHAnsi" w:hAnsiTheme="minorHAnsi"/>
          <w:b w:val="0"/>
          <w:smallCaps w:val="0"/>
          <w:sz w:val="22"/>
          <w:szCs w:val="22"/>
        </w:rPr>
        <w:t>La liste de critères ci-dessus est indicative et non exhaustive. Les critères définitifs régissant l’accès des établissements accrédités aux financements et l’attribution des subventions à auxdits établissements seront définis dans les appels à propositions annuels qui seront publiés par la Commission européenne.</w:t>
      </w:r>
      <w:bookmarkEnd w:id="41"/>
      <w:bookmarkEnd w:id="42"/>
    </w:p>
    <w:p w:rsidR="00545708" w:rsidRPr="00BC1EF9" w:rsidRDefault="00FC28CD"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r>
        <w:rPr>
          <w:rFonts w:ascii="Calibri Light" w:hAnsi="Calibri Light"/>
          <w:b w:val="0"/>
          <w:smallCaps/>
          <w:color w:val="000000" w:themeColor="text1"/>
          <w:sz w:val="28"/>
          <w:szCs w:val="28"/>
        </w:rPr>
        <w:lastRenderedPageBreak/>
        <w:t xml:space="preserve"> </w:t>
      </w:r>
      <w:bookmarkStart w:id="43" w:name="_Toc45275188"/>
      <w:r>
        <w:rPr>
          <w:rFonts w:ascii="Calibri Light" w:hAnsi="Calibri Light"/>
          <w:b w:val="0"/>
          <w:smallCaps/>
          <w:color w:val="000000" w:themeColor="text1"/>
          <w:sz w:val="28"/>
          <w:szCs w:val="28"/>
        </w:rPr>
        <w:t>Dépôt des demandes</w:t>
      </w:r>
      <w:bookmarkEnd w:id="43"/>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37"/>
        <w:gridCol w:w="7241"/>
      </w:tblGrid>
      <w:tr w:rsidR="00007CBD" w:rsidRPr="00007CBD" w:rsidTr="00A60F6B">
        <w:tc>
          <w:tcPr>
            <w:tcW w:w="1055" w:type="pct"/>
            <w:shd w:val="clear" w:color="auto" w:fill="FFFFFF"/>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Formulaire de demande </w:t>
            </w:r>
          </w:p>
        </w:tc>
        <w:tc>
          <w:tcPr>
            <w:tcW w:w="3945" w:type="pct"/>
            <w:shd w:val="clear" w:color="auto" w:fill="FFFFFF"/>
            <w:vAlign w:val="center"/>
          </w:tcPr>
          <w:p w:rsidR="00007CBD" w:rsidRPr="00BC1EF9" w:rsidRDefault="00007CBD" w:rsidP="00A871CB">
            <w:pPr>
              <w:spacing w:before="40" w:afterLines="40" w:after="96"/>
              <w:rPr>
                <w:rFonts w:asciiTheme="minorHAnsi" w:hAnsiTheme="minorHAnsi" w:cstheme="minorHAnsi"/>
                <w:sz w:val="22"/>
                <w:szCs w:val="22"/>
              </w:rPr>
            </w:pPr>
            <w:r>
              <w:rPr>
                <w:rFonts w:asciiTheme="minorHAnsi" w:hAnsiTheme="minorHAnsi"/>
                <w:sz w:val="22"/>
                <w:szCs w:val="22"/>
              </w:rPr>
              <w:t xml:space="preserve">Les demandes doivent être soumises au moyen du formulaire électronique officiel: </w:t>
            </w:r>
            <w:hyperlink r:id="rId8" w:history="1">
              <w:r>
                <w:rPr>
                  <w:rStyle w:val="Hyperlink"/>
                  <w:rFonts w:asciiTheme="minorHAnsi" w:hAnsiTheme="minorHAnsi"/>
                  <w:sz w:val="22"/>
                  <w:szCs w:val="22"/>
                </w:rPr>
                <w:t>https://webgate.ec.europa.eu/erasmus-applications/screen/home</w:t>
              </w:r>
            </w:hyperlink>
          </w:p>
        </w:tc>
      </w:tr>
      <w:tr w:rsidR="00007CBD" w:rsidRPr="00007CBD" w:rsidTr="00A60F6B">
        <w:tc>
          <w:tcPr>
            <w:tcW w:w="1055" w:type="pct"/>
            <w:shd w:val="clear" w:color="auto" w:fill="FFFFFF"/>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Où adresser la demande? </w:t>
            </w:r>
          </w:p>
        </w:tc>
        <w:tc>
          <w:tcPr>
            <w:tcW w:w="3945" w:type="pct"/>
            <w:shd w:val="clear" w:color="auto" w:fill="FFFFFF"/>
            <w:vAlign w:val="center"/>
          </w:tcPr>
          <w:p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Les demandes doivent être adressées à l’agence nationale du pays dans lequel l’établissement demandeur est situé.</w:t>
            </w:r>
          </w:p>
        </w:tc>
      </w:tr>
      <w:tr w:rsidR="00007CBD" w:rsidRPr="00007CBD" w:rsidTr="00A60F6B">
        <w:tc>
          <w:tcPr>
            <w:tcW w:w="1055" w:type="pct"/>
            <w:shd w:val="clear" w:color="auto" w:fill="FFFFFF"/>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Enregistrement de l’établissement </w:t>
            </w:r>
          </w:p>
        </w:tc>
        <w:tc>
          <w:tcPr>
            <w:tcW w:w="3945" w:type="pct"/>
            <w:shd w:val="clear" w:color="auto" w:fill="FFFFFF"/>
            <w:vAlign w:val="center"/>
          </w:tcPr>
          <w:p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 xml:space="preserve">Les demandeurs doivent disposer d’un identifiant (ID) en tant qu’établissement pour introduire une demande dans le cadre du présent appel. </w:t>
            </w:r>
          </w:p>
          <w:p w:rsidR="00007CBD" w:rsidRPr="00BC1EF9" w:rsidRDefault="00007CBD" w:rsidP="00A60F6B">
            <w:pPr>
              <w:spacing w:beforeLines="40" w:before="96" w:afterLines="40" w:after="96"/>
              <w:jc w:val="both"/>
              <w:rPr>
                <w:rFonts w:asciiTheme="minorHAnsi" w:hAnsiTheme="minorHAnsi" w:cstheme="minorHAnsi"/>
                <w:sz w:val="22"/>
                <w:szCs w:val="22"/>
              </w:rPr>
            </w:pPr>
            <w:r>
              <w:rPr>
                <w:rFonts w:asciiTheme="minorHAnsi" w:hAnsiTheme="minorHAnsi"/>
                <w:sz w:val="22"/>
                <w:szCs w:val="22"/>
              </w:rPr>
              <w:t>Les demandeurs ayant déjà participé à Erasmus + (</w:t>
            </w:r>
            <w:r w:rsidRPr="0063630B">
              <w:rPr>
                <w:rFonts w:asciiTheme="minorHAnsi" w:hAnsiTheme="minorHAnsi"/>
                <w:sz w:val="22"/>
                <w:szCs w:val="22"/>
              </w:rPr>
              <w:t>2014</w:t>
            </w:r>
            <w:r>
              <w:rPr>
                <w:rFonts w:asciiTheme="minorHAnsi" w:hAnsiTheme="minorHAnsi"/>
                <w:sz w:val="22"/>
                <w:szCs w:val="22"/>
              </w:rPr>
              <w:t>-</w:t>
            </w:r>
            <w:r w:rsidRPr="0063630B">
              <w:rPr>
                <w:rFonts w:asciiTheme="minorHAnsi" w:hAnsiTheme="minorHAnsi"/>
                <w:sz w:val="22"/>
                <w:szCs w:val="22"/>
              </w:rPr>
              <w:t>2020</w:t>
            </w:r>
            <w:r>
              <w:rPr>
                <w:rFonts w:asciiTheme="minorHAnsi" w:hAnsiTheme="minorHAnsi"/>
                <w:sz w:val="22"/>
                <w:szCs w:val="22"/>
              </w:rPr>
              <w:t xml:space="preserve">) devraient utiliser leur ID existant et s’abstenir de s’enregistrer à nouveau. </w:t>
            </w:r>
          </w:p>
          <w:p w:rsidR="00007CBD" w:rsidRPr="00BC1EF9" w:rsidRDefault="00007CBD" w:rsidP="00A60F6B">
            <w:pPr>
              <w:spacing w:beforeLines="40" w:before="96" w:afterLines="40" w:after="96"/>
              <w:jc w:val="both"/>
              <w:rPr>
                <w:rFonts w:asciiTheme="minorHAnsi" w:hAnsiTheme="minorHAnsi" w:cstheme="minorHAnsi"/>
                <w:sz w:val="22"/>
                <w:szCs w:val="22"/>
              </w:rPr>
            </w:pPr>
            <w:r>
              <w:rPr>
                <w:rFonts w:asciiTheme="minorHAnsi" w:hAnsiTheme="minorHAnsi"/>
                <w:sz w:val="22"/>
                <w:szCs w:val="22"/>
              </w:rPr>
              <w:t>Les demandeurs qui ont précédemment utilisé un numéro PIC (code d’identification du participant) devraient s’abstenir de s’enregistrer à nouveau. Ces demandeurs ont automatiquement reçu un ID et peuvent le retrouver dans le système d’enregistrement en suivant le lien ci-dessous.</w:t>
            </w:r>
          </w:p>
          <w:p w:rsidR="00007CBD" w:rsidRPr="00BC1EF9" w:rsidRDefault="00007CBD" w:rsidP="00A60F6B">
            <w:pPr>
              <w:spacing w:beforeLines="40" w:before="96" w:afterLines="40" w:after="96"/>
              <w:rPr>
                <w:rFonts w:asciiTheme="minorHAnsi" w:hAnsiTheme="minorHAnsi" w:cstheme="minorHAnsi"/>
                <w:color w:val="0000FF" w:themeColor="hyperlink"/>
                <w:sz w:val="22"/>
                <w:szCs w:val="22"/>
                <w:u w:val="single"/>
              </w:rPr>
            </w:pPr>
            <w:r>
              <w:rPr>
                <w:rFonts w:asciiTheme="minorHAnsi" w:hAnsiTheme="minorHAnsi"/>
                <w:sz w:val="22"/>
                <w:szCs w:val="22"/>
              </w:rPr>
              <w:t>Les demandeurs n’ayant jamais participé à Erasmus + (</w:t>
            </w:r>
            <w:r w:rsidRPr="0063630B">
              <w:rPr>
                <w:rFonts w:asciiTheme="minorHAnsi" w:hAnsiTheme="minorHAnsi"/>
                <w:sz w:val="22"/>
                <w:szCs w:val="22"/>
              </w:rPr>
              <w:t>2014</w:t>
            </w:r>
            <w:r>
              <w:rPr>
                <w:rFonts w:asciiTheme="minorHAnsi" w:hAnsiTheme="minorHAnsi"/>
                <w:sz w:val="22"/>
                <w:szCs w:val="22"/>
              </w:rPr>
              <w:t>-</w:t>
            </w:r>
            <w:r w:rsidRPr="0063630B">
              <w:rPr>
                <w:rFonts w:asciiTheme="minorHAnsi" w:hAnsiTheme="minorHAnsi"/>
                <w:sz w:val="22"/>
                <w:szCs w:val="22"/>
              </w:rPr>
              <w:t>2020</w:t>
            </w:r>
            <w:r>
              <w:rPr>
                <w:rFonts w:asciiTheme="minorHAnsi" w:hAnsiTheme="minorHAnsi"/>
                <w:sz w:val="22"/>
                <w:szCs w:val="22"/>
              </w:rPr>
              <w:t>) doivent s’inscrire pour obtenir un ID par l’intermédiaire du système d’enregistrement:</w:t>
            </w:r>
            <w:r>
              <w:t xml:space="preserve"> </w:t>
            </w:r>
            <w:r>
              <w:br/>
            </w:r>
            <w:hyperlink r:id="rId9" w:history="1">
              <w:r>
                <w:rPr>
                  <w:rStyle w:val="Hyperlink"/>
                  <w:rFonts w:asciiTheme="minorHAnsi" w:hAnsiTheme="minorHAnsi"/>
                  <w:sz w:val="22"/>
                  <w:szCs w:val="22"/>
                </w:rPr>
                <w:t>https://webgate.ec.europa.eu/erasmus-esc/organisation-registration/screen/home</w:t>
              </w:r>
            </w:hyperlink>
          </w:p>
        </w:tc>
      </w:tr>
      <w:tr w:rsidR="00007CBD" w:rsidRPr="00007CBD" w:rsidTr="00A60F6B">
        <w:tc>
          <w:tcPr>
            <w:tcW w:w="1055" w:type="pct"/>
            <w:shd w:val="clear" w:color="auto" w:fill="FFFFFF"/>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Langue de la demande </w:t>
            </w:r>
          </w:p>
        </w:tc>
        <w:tc>
          <w:tcPr>
            <w:tcW w:w="3945" w:type="pct"/>
            <w:shd w:val="clear" w:color="auto" w:fill="FFFFFF"/>
            <w:vAlign w:val="center"/>
          </w:tcPr>
          <w:p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 xml:space="preserve">Les demandes doivent être rédigées dans l’une des langues officielles de l’UE ou dans l’une des langues officielles des pays tiers éligibles. </w:t>
            </w:r>
          </w:p>
        </w:tc>
      </w:tr>
      <w:tr w:rsidR="00007CBD" w:rsidRPr="00007CBD" w:rsidTr="00A60F6B">
        <w:tc>
          <w:tcPr>
            <w:tcW w:w="1055" w:type="pct"/>
            <w:shd w:val="clear" w:color="auto" w:fill="auto"/>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Date limite de dépôt de la demande</w:t>
            </w:r>
          </w:p>
        </w:tc>
        <w:tc>
          <w:tcPr>
            <w:tcW w:w="3945" w:type="pct"/>
            <w:shd w:val="clear" w:color="auto" w:fill="auto"/>
            <w:vAlign w:val="center"/>
          </w:tcPr>
          <w:p w:rsidR="00007CBD" w:rsidRPr="00BC1EF9" w:rsidRDefault="004F2FA7" w:rsidP="00A871CB">
            <w:pPr>
              <w:jc w:val="both"/>
              <w:rPr>
                <w:rFonts w:asciiTheme="minorHAnsi" w:hAnsiTheme="minorHAnsi" w:cstheme="minorHAnsi"/>
                <w:sz w:val="22"/>
                <w:szCs w:val="22"/>
              </w:rPr>
            </w:pPr>
            <w:r>
              <w:rPr>
                <w:rFonts w:asciiTheme="minorHAnsi" w:hAnsiTheme="minorHAnsi"/>
                <w:sz w:val="22"/>
                <w:szCs w:val="22"/>
              </w:rPr>
              <w:t xml:space="preserve">L’évaluation des demandes et l’octroi des accréditations constituent un processus permanent. L’accès simplifié aux possibilités de financement au cours d’une année donnée nécessite l’obtention préalable du statut d’établissement accrédité. Afin d’obtenir l’accréditation au titre du présent appel, les demandes doivent avoir été déposées au plus tard le </w:t>
            </w:r>
            <w:r w:rsidRPr="0063630B">
              <w:rPr>
                <w:rFonts w:asciiTheme="minorHAnsi" w:hAnsiTheme="minorHAnsi"/>
                <w:sz w:val="22"/>
                <w:szCs w:val="22"/>
              </w:rPr>
              <w:t>31</w:t>
            </w:r>
            <w:r>
              <w:rPr>
                <w:rFonts w:asciiTheme="minorHAnsi" w:hAnsiTheme="minorHAnsi"/>
                <w:sz w:val="22"/>
                <w:szCs w:val="22"/>
              </w:rPr>
              <w:t xml:space="preserve"> décembre </w:t>
            </w:r>
            <w:r w:rsidRPr="0063630B">
              <w:rPr>
                <w:rFonts w:asciiTheme="minorHAnsi" w:hAnsiTheme="minorHAnsi"/>
                <w:sz w:val="22"/>
                <w:szCs w:val="22"/>
              </w:rPr>
              <w:t>2021</w:t>
            </w:r>
            <w:r>
              <w:rPr>
                <w:rFonts w:asciiTheme="minorHAnsi" w:hAnsiTheme="minorHAnsi"/>
                <w:sz w:val="22"/>
                <w:szCs w:val="22"/>
              </w:rPr>
              <w:t>.</w:t>
            </w:r>
          </w:p>
        </w:tc>
      </w:tr>
      <w:tr w:rsidR="00007CBD" w:rsidRPr="00007CBD" w:rsidTr="00A60F6B">
        <w:trPr>
          <w:trHeight w:val="295"/>
        </w:trPr>
        <w:tc>
          <w:tcPr>
            <w:tcW w:w="1055" w:type="pct"/>
            <w:shd w:val="clear" w:color="auto" w:fill="FFFFFF"/>
            <w:vAlign w:val="center"/>
          </w:tcPr>
          <w:p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Normes de qualité Erasmus Jeunesse </w:t>
            </w:r>
          </w:p>
        </w:tc>
        <w:tc>
          <w:tcPr>
            <w:tcW w:w="3945" w:type="pct"/>
            <w:shd w:val="clear" w:color="auto" w:fill="FFFFFF"/>
            <w:vAlign w:val="center"/>
          </w:tcPr>
          <w:p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Les demandeurs d’une accréditation Erasmus Jeunesse doivent souscrire aux normes de qualité Erasmus Jeunesse définies à l’annexe I des présentes règles. Ces normes sont susceptibles d’être mises à jour pendant la période de validité de l’accréditation. Dans ce cas, les établissements accrédités devront marquer leur accord avant de pouvoir demander leur prochaine subvention.</w:t>
            </w:r>
          </w:p>
        </w:tc>
      </w:tr>
    </w:tbl>
    <w:p w:rsidR="00FC28CD" w:rsidRPr="00BC1EF9" w:rsidRDefault="00FC28CD"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44" w:name="_Toc45275189"/>
      <w:r>
        <w:rPr>
          <w:rFonts w:ascii="Calibri Light" w:hAnsi="Calibri Light"/>
          <w:b w:val="0"/>
          <w:smallCaps/>
          <w:color w:val="000000" w:themeColor="text1"/>
          <w:sz w:val="28"/>
          <w:szCs w:val="28"/>
        </w:rPr>
        <w:t>Traitement des données à caractère personnel</w:t>
      </w:r>
      <w:bookmarkEnd w:id="44"/>
      <w:r>
        <w:rPr>
          <w:rFonts w:ascii="Calibri Light" w:hAnsi="Calibri Light"/>
          <w:b w:val="0"/>
          <w:smallCaps/>
          <w:color w:val="000000" w:themeColor="text1"/>
          <w:sz w:val="28"/>
          <w:szCs w:val="28"/>
        </w:rPr>
        <w:t xml:space="preserve"> </w:t>
      </w:r>
    </w:p>
    <w:p w:rsidR="00FC28CD" w:rsidRPr="00A324AA" w:rsidRDefault="00FC28CD" w:rsidP="00FC28CD">
      <w:pPr>
        <w:pStyle w:val="Guide-Heading4"/>
        <w:jc w:val="both"/>
        <w:rPr>
          <w:rFonts w:asciiTheme="minorHAnsi" w:eastAsia="SimSun" w:hAnsiTheme="minorHAnsi" w:cstheme="minorHAnsi"/>
          <w:b w:val="0"/>
          <w:smallCaps w:val="0"/>
          <w:sz w:val="22"/>
          <w:szCs w:val="22"/>
        </w:rPr>
      </w:pPr>
      <w:bookmarkStart w:id="45" w:name="_Toc42670968"/>
      <w:bookmarkStart w:id="46" w:name="_Toc45275190"/>
      <w:r>
        <w:rPr>
          <w:rFonts w:asciiTheme="minorHAnsi" w:hAnsiTheme="minorHAnsi"/>
          <w:b w:val="0"/>
          <w:smallCaps w:val="0"/>
          <w:sz w:val="22"/>
          <w:szCs w:val="22"/>
        </w:rPr>
        <w:t>Toutes les données à caractère personnel figurant dans la demande ou dans la décision d’attribution seront traitées par l’agence nationale conformément aux actes législatifs suivants:</w:t>
      </w:r>
      <w:bookmarkEnd w:id="45"/>
      <w:bookmarkEnd w:id="46"/>
      <w:r>
        <w:rPr>
          <w:rFonts w:asciiTheme="minorHAnsi" w:hAnsiTheme="minorHAnsi"/>
          <w:b w:val="0"/>
          <w:smallCaps w:val="0"/>
          <w:sz w:val="22"/>
          <w:szCs w:val="22"/>
        </w:rPr>
        <w:t xml:space="preserve"> </w:t>
      </w:r>
    </w:p>
    <w:p w:rsidR="00FC28CD" w:rsidRPr="00A324AA" w:rsidRDefault="00FC28CD" w:rsidP="00FC28CD">
      <w:pPr>
        <w:pStyle w:val="ListParagraph"/>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règlement (UE) </w:t>
      </w:r>
      <w:r w:rsidRPr="0063630B">
        <w:rPr>
          <w:rFonts w:asciiTheme="minorHAnsi" w:hAnsiTheme="minorHAnsi"/>
        </w:rPr>
        <w:t>2018</w:t>
      </w:r>
      <w:r>
        <w:rPr>
          <w:rFonts w:asciiTheme="minorHAnsi" w:hAnsiTheme="minorHAnsi"/>
        </w:rPr>
        <w:t>/</w:t>
      </w:r>
      <w:r w:rsidRPr="0063630B">
        <w:rPr>
          <w:rFonts w:asciiTheme="minorHAnsi" w:hAnsiTheme="minorHAnsi"/>
        </w:rPr>
        <w:t>1725</w:t>
      </w:r>
      <w:r>
        <w:rPr>
          <w:rFonts w:asciiTheme="minorHAnsi" w:hAnsiTheme="minorHAnsi"/>
        </w:rPr>
        <w:t xml:space="preserve"> du Parlement européen et du Conseil du </w:t>
      </w:r>
      <w:r w:rsidRPr="0063630B">
        <w:rPr>
          <w:rFonts w:asciiTheme="minorHAnsi" w:hAnsiTheme="minorHAnsi"/>
        </w:rPr>
        <w:t>23</w:t>
      </w:r>
      <w:r>
        <w:rPr>
          <w:rFonts w:asciiTheme="minorHAnsi" w:hAnsiTheme="minorHAnsi"/>
        </w:rPr>
        <w:t xml:space="preserve"> octobre </w:t>
      </w:r>
      <w:r w:rsidRPr="0063630B">
        <w:rPr>
          <w:rFonts w:asciiTheme="minorHAnsi" w:hAnsiTheme="minorHAnsi"/>
        </w:rPr>
        <w:t>2018</w:t>
      </w:r>
      <w:r>
        <w:rPr>
          <w:rFonts w:asciiTheme="minorHAnsi" w:hAnsiTheme="minorHAnsi"/>
        </w:rPr>
        <w:t xml:space="preserve"> relatif à la protection des personnes physiques à l’égard du traitement des données à caractère personnel par les institutions, organes et organismes de l’Union et à la libre circulation de ces données, et abrogeant le règlement (CE) nº </w:t>
      </w:r>
      <w:r w:rsidRPr="0063630B">
        <w:rPr>
          <w:rFonts w:asciiTheme="minorHAnsi" w:hAnsiTheme="minorHAnsi"/>
        </w:rPr>
        <w:t>45</w:t>
      </w:r>
      <w:r>
        <w:rPr>
          <w:rFonts w:asciiTheme="minorHAnsi" w:hAnsiTheme="minorHAnsi"/>
        </w:rPr>
        <w:t>/</w:t>
      </w:r>
      <w:r w:rsidRPr="0063630B">
        <w:rPr>
          <w:rFonts w:asciiTheme="minorHAnsi" w:hAnsiTheme="minorHAnsi"/>
        </w:rPr>
        <w:t>2001</w:t>
      </w:r>
      <w:r>
        <w:rPr>
          <w:rFonts w:asciiTheme="minorHAnsi" w:hAnsiTheme="minorHAnsi"/>
        </w:rPr>
        <w:t xml:space="preserve"> et la décision nº </w:t>
      </w:r>
      <w:r w:rsidRPr="0063630B">
        <w:rPr>
          <w:rFonts w:asciiTheme="minorHAnsi" w:hAnsiTheme="minorHAnsi"/>
        </w:rPr>
        <w:t>1247</w:t>
      </w:r>
      <w:r>
        <w:rPr>
          <w:rFonts w:asciiTheme="minorHAnsi" w:hAnsiTheme="minorHAnsi"/>
        </w:rPr>
        <w:t>/</w:t>
      </w:r>
      <w:r w:rsidRPr="0063630B">
        <w:rPr>
          <w:rFonts w:asciiTheme="minorHAnsi" w:hAnsiTheme="minorHAnsi"/>
        </w:rPr>
        <w:t>2002</w:t>
      </w:r>
      <w:r>
        <w:rPr>
          <w:rFonts w:asciiTheme="minorHAnsi" w:hAnsiTheme="minorHAnsi"/>
        </w:rPr>
        <w:t xml:space="preserve">/CE (Texte présentant de l’intérêt pour l’EEE); </w:t>
      </w:r>
    </w:p>
    <w:p w:rsidR="00DB512B" w:rsidRDefault="00FC28CD" w:rsidP="00FC28CD">
      <w:pPr>
        <w:pStyle w:val="ListParagraph"/>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à titre secondaire et uniquement dans la mesure où le règlement (UE) </w:t>
      </w:r>
      <w:r w:rsidRPr="0063630B">
        <w:rPr>
          <w:rFonts w:asciiTheme="minorHAnsi" w:hAnsiTheme="minorHAnsi"/>
        </w:rPr>
        <w:t>2018</w:t>
      </w:r>
      <w:r>
        <w:rPr>
          <w:rFonts w:asciiTheme="minorHAnsi" w:hAnsiTheme="minorHAnsi"/>
        </w:rPr>
        <w:t>/</w:t>
      </w:r>
      <w:r w:rsidRPr="0063630B">
        <w:rPr>
          <w:rFonts w:asciiTheme="minorHAnsi" w:hAnsiTheme="minorHAnsi"/>
        </w:rPr>
        <w:t>1725</w:t>
      </w:r>
      <w:r>
        <w:rPr>
          <w:rFonts w:asciiTheme="minorHAnsi" w:hAnsiTheme="minorHAnsi"/>
        </w:rPr>
        <w:t xml:space="preserve"> ne s’applique pas, le règlement général sur la protection des données [RGPD ou règlement (UE) </w:t>
      </w:r>
      <w:r w:rsidRPr="0063630B">
        <w:rPr>
          <w:rFonts w:asciiTheme="minorHAnsi" w:hAnsiTheme="minorHAnsi"/>
        </w:rPr>
        <w:t>2016</w:t>
      </w:r>
      <w:r>
        <w:rPr>
          <w:rFonts w:asciiTheme="minorHAnsi" w:hAnsiTheme="minorHAnsi"/>
        </w:rPr>
        <w:t>/</w:t>
      </w:r>
      <w:r w:rsidRPr="0063630B">
        <w:rPr>
          <w:rFonts w:asciiTheme="minorHAnsi" w:hAnsiTheme="minorHAnsi"/>
        </w:rPr>
        <w:t>679</w:t>
      </w:r>
      <w:r>
        <w:rPr>
          <w:rFonts w:asciiTheme="minorHAnsi" w:hAnsiTheme="minorHAnsi"/>
        </w:rPr>
        <w:t xml:space="preserve"> du Parlement européen et du Conseil du </w:t>
      </w:r>
      <w:r w:rsidRPr="0063630B">
        <w:rPr>
          <w:rFonts w:asciiTheme="minorHAnsi" w:hAnsiTheme="minorHAnsi"/>
        </w:rPr>
        <w:t>27</w:t>
      </w:r>
      <w:r>
        <w:rPr>
          <w:rFonts w:asciiTheme="minorHAnsi" w:hAnsiTheme="minorHAnsi"/>
        </w:rPr>
        <w:t> avril </w:t>
      </w:r>
      <w:r w:rsidRPr="0063630B">
        <w:rPr>
          <w:rFonts w:asciiTheme="minorHAnsi" w:hAnsiTheme="minorHAnsi"/>
        </w:rPr>
        <w:t>2016</w:t>
      </w:r>
      <w:r>
        <w:rPr>
          <w:rFonts w:asciiTheme="minorHAnsi" w:hAnsiTheme="minorHAnsi"/>
        </w:rPr>
        <w:t xml:space="preserve">] ou la législation nationale relative à la protection des données si le RGPD ne s’applique pas (pays tiers). </w:t>
      </w:r>
    </w:p>
    <w:p w:rsid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lastRenderedPageBreak/>
        <w:t xml:space="preserve">Pour autant qu’elles ne soient pas facultatives, les réponses du demandeur aux questions du formulaire de demande sont nécessaires à l’évaluation et à la suite du traitement de la demande de subvention conformément aux règles de présentation de la demande. Les données à caractère personnel seront traitées uniquement à cette fin par le service ou l’unité responsable (agissant en qualité de responsable du traitement des données). </w:t>
      </w:r>
    </w:p>
    <w:p w:rsid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t xml:space="preserve">Les données à caractère personnel peuvent être transmises, sur la base du principe du «besoin d’en connaître», à des tiers prenant part à l’évaluation des demandes ou aux procédures ultérieures de gestion des subventions, sans préjudice de leur transfert aux organismes chargés des tâches de suivi et d’inspection conformément à la législation de l’Union européenne ou à des organismes mandatés pour procéder aux évaluations du programme ou de ses actions. En particulier, aux fins de la protection des intérêts financiers de l’Union, les données à caractère personnel peuvent être transmises aux services d’audit interne, à la Cour des comptes européenne, à l’instance spécialisée en matière d’irrégularités financières et/ou à l’Office européen de lutte antifraude, ainsi qu’entre les ordonnateurs de la Commission et des agences exécutives. </w:t>
      </w:r>
    </w:p>
    <w:p w:rsidR="00FC28CD" w:rsidRP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t xml:space="preserve">Le demandeur dispose d’un droit d’accès à ses données à caractère personnel et d’un droit de rectification de ces données. En cas de questions concernant le traitement de ses données à caractère personnel, le demandeur doit s’adresser à l’agence qui a sélectionné la demande. En cas de conflits, le demandeur a également le droit de saisir à tout moment le contrôleur européen de la protection des données. </w:t>
      </w:r>
    </w:p>
    <w:p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47" w:name="_Toc42670969"/>
      <w:bookmarkStart w:id="48" w:name="_Toc45275191"/>
      <w:r>
        <w:rPr>
          <w:rFonts w:asciiTheme="minorHAnsi" w:hAnsiTheme="minorHAnsi"/>
          <w:b w:val="0"/>
          <w:smallCaps w:val="0"/>
          <w:sz w:val="22"/>
          <w:szCs w:val="22"/>
        </w:rPr>
        <w:t>En ce qui concerne le traitement des données à caractère personnel au titre du programme Erasmus +, une déclaration de confidentialité détaillée contenant notamment les coordonnées de contact est disponible sur le site web de la Commission.</w:t>
      </w:r>
      <w:bookmarkEnd w:id="47"/>
      <w:bookmarkEnd w:id="48"/>
    </w:p>
    <w:p w:rsidR="00FC28CD" w:rsidRPr="00BC1EF9" w:rsidRDefault="00FC28CD" w:rsidP="00BC1EF9">
      <w:pPr>
        <w:pStyle w:val="Title"/>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49" w:name="_Toc45275192"/>
      <w:r>
        <w:rPr>
          <w:rFonts w:ascii="Calibri Light" w:hAnsi="Calibri Light"/>
          <w:b w:val="0"/>
          <w:smallCaps/>
          <w:color w:val="000000" w:themeColor="text1"/>
          <w:sz w:val="28"/>
          <w:szCs w:val="28"/>
        </w:rPr>
        <w:t>Annexes</w:t>
      </w:r>
      <w:bookmarkEnd w:id="49"/>
      <w:r>
        <w:rPr>
          <w:rFonts w:ascii="Calibri Light" w:hAnsi="Calibri Light"/>
          <w:b w:val="0"/>
          <w:smallCaps/>
          <w:color w:val="000000" w:themeColor="text1"/>
          <w:sz w:val="28"/>
          <w:szCs w:val="28"/>
        </w:rPr>
        <w:t xml:space="preserve"> </w:t>
      </w:r>
    </w:p>
    <w:p w:rsidR="00FC28CD" w:rsidRPr="00A943B2" w:rsidRDefault="00FC28CD" w:rsidP="00FC28CD">
      <w:pPr>
        <w:pStyle w:val="Guide-Heading4"/>
        <w:keepNext w:val="0"/>
        <w:numPr>
          <w:ilvl w:val="0"/>
          <w:numId w:val="49"/>
        </w:numPr>
        <w:jc w:val="both"/>
        <w:rPr>
          <w:rFonts w:asciiTheme="minorHAnsi" w:eastAsia="SimSun" w:hAnsiTheme="minorHAnsi" w:cstheme="minorHAnsi"/>
          <w:b w:val="0"/>
          <w:smallCaps w:val="0"/>
          <w:sz w:val="22"/>
          <w:szCs w:val="22"/>
        </w:rPr>
      </w:pPr>
      <w:bookmarkStart w:id="50" w:name="_Toc42670971"/>
      <w:bookmarkStart w:id="51" w:name="_Toc45275193"/>
      <w:r>
        <w:rPr>
          <w:rFonts w:asciiTheme="minorHAnsi" w:hAnsiTheme="minorHAnsi"/>
          <w:b w:val="0"/>
          <w:smallCaps w:val="0"/>
          <w:sz w:val="22"/>
          <w:szCs w:val="22"/>
        </w:rPr>
        <w:t>Annexe I: normes de qualité Erasmus Jeunesse</w:t>
      </w:r>
      <w:bookmarkEnd w:id="50"/>
      <w:bookmarkEnd w:id="51"/>
    </w:p>
    <w:p w:rsidR="008C62E1" w:rsidRPr="00BC1EF9" w:rsidRDefault="008C62E1" w:rsidP="00FC28CD">
      <w:pPr>
        <w:pStyle w:val="ManualHeading1"/>
        <w:tabs>
          <w:tab w:val="clear" w:pos="850"/>
          <w:tab w:val="left" w:pos="567"/>
        </w:tabs>
        <w:ind w:left="0" w:firstLine="0"/>
        <w:rPr>
          <w:rFonts w:asciiTheme="minorHAnsi" w:hAnsiTheme="minorHAnsi"/>
        </w:rPr>
      </w:pPr>
    </w:p>
    <w:sectPr w:rsidR="008C62E1" w:rsidRPr="00BC1EF9" w:rsidSect="00BC1EF9">
      <w:footerReference w:type="even" r:id="rId10"/>
      <w:footerReference w:type="default" r:id="rId11"/>
      <w:pgSz w:w="11906" w:h="16838"/>
      <w:pgMar w:top="1276" w:right="1418" w:bottom="1135"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93" w:rsidRDefault="00201C93">
      <w:r>
        <w:separator/>
      </w:r>
    </w:p>
  </w:endnote>
  <w:endnote w:type="continuationSeparator" w:id="0">
    <w:p w:rsidR="00201C93" w:rsidRDefault="0020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0F" w:rsidRDefault="00B5390F" w:rsidP="006F0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90F" w:rsidRDefault="00B5390F" w:rsidP="006F0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0F" w:rsidRDefault="00B5390F" w:rsidP="006F0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59B">
      <w:rPr>
        <w:rStyle w:val="PageNumber"/>
        <w:noProof/>
      </w:rPr>
      <w:t>9</w:t>
    </w:r>
    <w:r>
      <w:rPr>
        <w:rStyle w:val="PageNumber"/>
      </w:rPr>
      <w:fldChar w:fldCharType="end"/>
    </w:r>
  </w:p>
  <w:p w:rsidR="00B5390F" w:rsidRDefault="00B5390F" w:rsidP="006F0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93" w:rsidRDefault="00201C93">
      <w:r>
        <w:separator/>
      </w:r>
    </w:p>
  </w:footnote>
  <w:footnote w:type="continuationSeparator" w:id="0">
    <w:p w:rsidR="00201C93" w:rsidRDefault="00201C93">
      <w:r>
        <w:continuationSeparator/>
      </w:r>
    </w:p>
  </w:footnote>
  <w:footnote w:id="1">
    <w:p w:rsidR="00CC5272" w:rsidRPr="00BC1EF9" w:rsidRDefault="00CC5272" w:rsidP="00BC1EF9">
      <w:pPr>
        <w:pStyle w:val="FootnoteText"/>
        <w:spacing w:after="0"/>
        <w:ind w:left="0" w:firstLine="0"/>
        <w:rPr>
          <w:rFonts w:asciiTheme="minorHAnsi" w:hAnsiTheme="minorHAnsi"/>
          <w:smallCaps/>
          <w:sz w:val="16"/>
          <w:szCs w:val="16"/>
        </w:rPr>
      </w:pPr>
      <w:r w:rsidRPr="0063630B">
        <w:rPr>
          <w:rStyle w:val="FootnoteReference"/>
          <w:rFonts w:asciiTheme="minorHAnsi" w:hAnsiTheme="minorHAnsi" w:cstheme="minorHAnsi"/>
          <w:sz w:val="16"/>
          <w:szCs w:val="16"/>
        </w:rPr>
        <w:footnoteRef/>
      </w:r>
      <w:r w:rsidRPr="0063630B">
        <w:rPr>
          <w:rFonts w:asciiTheme="minorHAnsi" w:hAnsiTheme="minorHAnsi" w:cstheme="minorHAnsi"/>
          <w:sz w:val="16"/>
          <w:szCs w:val="16"/>
        </w:rPr>
        <w:tab/>
        <w:t>Le programme 2021-2027 de l’Union pour l’éducation, la formation, la jeunesse et le sport, proposé par la Commission européenne le 30 mai 2018 (ci-après le</w:t>
      </w:r>
      <w:proofErr w:type="gramStart"/>
      <w:r w:rsidRPr="0063630B">
        <w:rPr>
          <w:rFonts w:asciiTheme="minorHAnsi" w:hAnsiTheme="minorHAnsi" w:cstheme="minorHAnsi"/>
          <w:sz w:val="16"/>
          <w:szCs w:val="16"/>
        </w:rPr>
        <w:t xml:space="preserve"> «programme</w:t>
      </w:r>
      <w:proofErr w:type="gramEnd"/>
      <w:r w:rsidRPr="0063630B">
        <w:rPr>
          <w:rFonts w:asciiTheme="minorHAnsi" w:hAnsiTheme="minorHAnsi" w:cstheme="minorHAnsi"/>
          <w:sz w:val="16"/>
          <w:szCs w:val="16"/>
        </w:rPr>
        <w:t>»), n’a pas encore été adopté par les législateurs européens. Le présent appel à demandes d’accréditation est néanmoins publié pour permettre aux bénéficiaires</w:t>
      </w:r>
      <w:r>
        <w:rPr>
          <w:rFonts w:asciiTheme="minorHAnsi" w:hAnsiTheme="minorHAnsi"/>
          <w:sz w:val="16"/>
          <w:szCs w:val="16"/>
        </w:rPr>
        <w:t xml:space="preserve"> potentiels de subventions de l’Union de présenter leur demande dès que la base juridique aura été adoptée par les législateurs européens. La Commission européenne n’est pas liée juridiquement par le présent appel. En cas de modification substantielle de la base juridique par les législateurs européens, le présent appel pourrait être modifié ou annulé, et d’autres appels à demandes d’accréditation pourraient être lancés, avec un contenu différent et un délai de réponse adapté. Plus généralement, toute mesure découlant du présent appel est subordonnée aux conditions suivantes, sur lesquelles la Commission n’a pas de prise: </w:t>
      </w:r>
    </w:p>
    <w:p w:rsidR="00CC5272" w:rsidRPr="00BC1EF9" w:rsidRDefault="00CC5272" w:rsidP="00BC1EF9">
      <w:pPr>
        <w:pStyle w:val="FootnoteText"/>
        <w:spacing w:after="0"/>
        <w:ind w:left="0" w:firstLine="0"/>
        <w:rPr>
          <w:rFonts w:asciiTheme="minorHAnsi" w:hAnsiTheme="minorHAnsi"/>
          <w:smallCaps/>
          <w:sz w:val="16"/>
          <w:szCs w:val="16"/>
        </w:rPr>
      </w:pPr>
      <w:r>
        <w:rPr>
          <w:rFonts w:asciiTheme="minorHAnsi" w:hAnsiTheme="minorHAnsi"/>
          <w:sz w:val="16"/>
          <w:szCs w:val="16"/>
        </w:rPr>
        <w:t xml:space="preserve">— l’adoption, par le Parlement européen et le Conseil de l’Union européenne, du texte final de la base juridique établissant le programme; </w:t>
      </w:r>
    </w:p>
    <w:p w:rsidR="00CC5272" w:rsidRPr="00BC1EF9" w:rsidRDefault="00CC5272" w:rsidP="00BC1EF9">
      <w:pPr>
        <w:pStyle w:val="FootnoteText"/>
        <w:spacing w:after="0"/>
        <w:ind w:left="0" w:firstLine="0"/>
        <w:rPr>
          <w:rFonts w:asciiTheme="minorHAnsi" w:hAnsiTheme="minorHAnsi"/>
          <w:smallCaps/>
          <w:sz w:val="16"/>
          <w:szCs w:val="16"/>
        </w:rPr>
      </w:pPr>
      <w:r>
        <w:rPr>
          <w:rFonts w:asciiTheme="minorHAnsi" w:hAnsiTheme="minorHAnsi"/>
          <w:sz w:val="16"/>
          <w:szCs w:val="16"/>
        </w:rPr>
        <w:t xml:space="preserve">— l’adoption du programme de travail </w:t>
      </w:r>
      <w:r w:rsidRPr="0063630B">
        <w:rPr>
          <w:rFonts w:asciiTheme="minorHAnsi" w:hAnsiTheme="minorHAnsi"/>
          <w:sz w:val="16"/>
          <w:szCs w:val="16"/>
        </w:rPr>
        <w:t>2021</w:t>
      </w:r>
      <w:r>
        <w:rPr>
          <w:rFonts w:asciiTheme="minorHAnsi" w:hAnsiTheme="minorHAnsi"/>
          <w:sz w:val="16"/>
          <w:szCs w:val="16"/>
        </w:rPr>
        <w:t xml:space="preserve"> et des programmes de travail annuels ultérieurs, des orientations générales pour la mise en œuvre, ainsi que des critères et procédures de sélection, après consultation du comité du programme; et </w:t>
      </w:r>
    </w:p>
    <w:p w:rsidR="00CC5272" w:rsidRPr="00BC1EF9" w:rsidRDefault="00CC5272" w:rsidP="00BC1EF9">
      <w:pPr>
        <w:pStyle w:val="FootnoteText"/>
        <w:spacing w:after="0"/>
        <w:ind w:left="0" w:firstLine="0"/>
        <w:rPr>
          <w:rFonts w:asciiTheme="minorHAnsi" w:hAnsiTheme="minorHAnsi"/>
          <w:smallCaps/>
          <w:sz w:val="16"/>
          <w:szCs w:val="16"/>
        </w:rPr>
      </w:pPr>
      <w:r>
        <w:rPr>
          <w:rFonts w:asciiTheme="minorHAnsi" w:hAnsiTheme="minorHAnsi"/>
          <w:sz w:val="16"/>
          <w:szCs w:val="16"/>
        </w:rPr>
        <w:t xml:space="preserve">— l’adoption, par l’autorité budgétaire, du budget </w:t>
      </w:r>
      <w:r w:rsidRPr="0063630B">
        <w:rPr>
          <w:rFonts w:asciiTheme="minorHAnsi" w:hAnsiTheme="minorHAnsi"/>
          <w:sz w:val="16"/>
          <w:szCs w:val="16"/>
        </w:rPr>
        <w:t>2021</w:t>
      </w:r>
      <w:r>
        <w:rPr>
          <w:rFonts w:asciiTheme="minorHAnsi" w:hAnsiTheme="minorHAnsi"/>
          <w:sz w:val="16"/>
          <w:szCs w:val="16"/>
        </w:rPr>
        <w:t xml:space="preserve"> et des budgets ultérieurs de l’Union européenne. </w:t>
      </w:r>
    </w:p>
    <w:p w:rsidR="00CC5272" w:rsidRPr="00BC1EF9" w:rsidRDefault="00CC5272" w:rsidP="00796684">
      <w:pPr>
        <w:pStyle w:val="FootnoteText"/>
        <w:ind w:left="0" w:firstLine="0"/>
        <w:rPr>
          <w:smallCaps/>
          <w:sz w:val="16"/>
          <w:szCs w:val="16"/>
        </w:rPr>
      </w:pPr>
      <w:r>
        <w:rPr>
          <w:rFonts w:asciiTheme="minorHAnsi" w:hAnsiTheme="minorHAnsi"/>
          <w:sz w:val="16"/>
          <w:szCs w:val="16"/>
        </w:rPr>
        <w:t xml:space="preserve">Le programme de l’Union pour l’éducation, la formation, la jeunesse et le sport proposé pour la période </w:t>
      </w:r>
      <w:r w:rsidRPr="0063630B">
        <w:rPr>
          <w:rFonts w:asciiTheme="minorHAnsi" w:hAnsiTheme="minorHAnsi"/>
          <w:sz w:val="16"/>
          <w:szCs w:val="16"/>
        </w:rPr>
        <w:t>2021</w:t>
      </w:r>
      <w:r>
        <w:rPr>
          <w:rFonts w:asciiTheme="minorHAnsi" w:hAnsiTheme="minorHAnsi"/>
          <w:sz w:val="16"/>
          <w:szCs w:val="16"/>
        </w:rPr>
        <w:t>-</w:t>
      </w:r>
      <w:r w:rsidRPr="0063630B">
        <w:rPr>
          <w:rFonts w:asciiTheme="minorHAnsi" w:hAnsiTheme="minorHAnsi"/>
          <w:sz w:val="16"/>
          <w:szCs w:val="16"/>
        </w:rPr>
        <w:t>2027</w:t>
      </w:r>
      <w:r>
        <w:rPr>
          <w:rFonts w:asciiTheme="minorHAnsi" w:hAnsiTheme="minorHAnsi"/>
          <w:sz w:val="16"/>
          <w:szCs w:val="16"/>
        </w:rPr>
        <w:t xml:space="preserve"> se fonde sur les articles </w:t>
      </w:r>
      <w:r w:rsidRPr="0063630B">
        <w:rPr>
          <w:rFonts w:asciiTheme="minorHAnsi" w:hAnsiTheme="minorHAnsi"/>
          <w:sz w:val="16"/>
          <w:szCs w:val="16"/>
        </w:rPr>
        <w:t>165</w:t>
      </w:r>
      <w:r>
        <w:rPr>
          <w:rFonts w:asciiTheme="minorHAnsi" w:hAnsiTheme="minorHAnsi"/>
          <w:sz w:val="16"/>
          <w:szCs w:val="16"/>
        </w:rPr>
        <w:t xml:space="preserve"> et </w:t>
      </w:r>
      <w:r w:rsidRPr="0063630B">
        <w:rPr>
          <w:rFonts w:asciiTheme="minorHAnsi" w:hAnsiTheme="minorHAnsi"/>
          <w:sz w:val="16"/>
          <w:szCs w:val="16"/>
        </w:rPr>
        <w:t>166</w:t>
      </w:r>
      <w:r>
        <w:rPr>
          <w:rFonts w:asciiTheme="minorHAnsi" w:hAnsiTheme="minorHAnsi"/>
          <w:sz w:val="16"/>
          <w:szCs w:val="16"/>
        </w:rPr>
        <w:t xml:space="preserve"> du traité sur le fonctionnement de l’Union européenne et sur le principe de subsidiarité.</w:t>
      </w:r>
    </w:p>
  </w:footnote>
  <w:footnote w:id="2">
    <w:p w:rsidR="0094055F" w:rsidRPr="0063630B" w:rsidRDefault="0094055F" w:rsidP="00DB512B">
      <w:pPr>
        <w:pStyle w:val="FootnoteText"/>
        <w:spacing w:after="60"/>
        <w:ind w:left="0" w:firstLine="0"/>
        <w:rPr>
          <w:rFonts w:asciiTheme="minorHAnsi" w:hAnsiTheme="minorHAnsi" w:cstheme="minorHAnsi"/>
          <w:sz w:val="16"/>
          <w:szCs w:val="16"/>
        </w:rPr>
      </w:pPr>
      <w:r>
        <w:rPr>
          <w:rStyle w:val="FootnoteReference"/>
          <w:rFonts w:asciiTheme="minorHAnsi" w:hAnsiTheme="minorHAnsi" w:cstheme="minorHAnsi"/>
          <w:sz w:val="16"/>
          <w:vertAlign w:val="baseline"/>
        </w:rPr>
        <w:footnoteRef/>
      </w:r>
      <w:r>
        <w:rPr>
          <w:rStyle w:val="FootnoteReference"/>
          <w:rFonts w:asciiTheme="minorHAnsi" w:hAnsiTheme="minorHAnsi"/>
          <w:sz w:val="16"/>
          <w:vertAlign w:val="baseline"/>
        </w:rPr>
        <w:t xml:space="preserve"> Sous réserve de l’adoption de la base juridique. Dans le programme Erasmus + </w:t>
      </w:r>
      <w:r w:rsidRPr="0063630B">
        <w:rPr>
          <w:rStyle w:val="FootnoteReference"/>
          <w:rFonts w:asciiTheme="minorHAnsi" w:hAnsiTheme="minorHAnsi"/>
          <w:sz w:val="16"/>
          <w:vertAlign w:val="baseline"/>
        </w:rPr>
        <w:t>2014</w:t>
      </w:r>
      <w:r>
        <w:rPr>
          <w:rStyle w:val="FootnoteReference"/>
          <w:rFonts w:asciiTheme="minorHAnsi" w:hAnsiTheme="minorHAnsi"/>
          <w:sz w:val="16"/>
          <w:vertAlign w:val="baseline"/>
        </w:rPr>
        <w:t>-</w:t>
      </w:r>
      <w:r w:rsidRPr="0063630B">
        <w:rPr>
          <w:rStyle w:val="FootnoteReference"/>
          <w:rFonts w:asciiTheme="minorHAnsi" w:hAnsiTheme="minorHAnsi"/>
          <w:sz w:val="16"/>
          <w:vertAlign w:val="baseline"/>
        </w:rPr>
        <w:t>2020</w:t>
      </w:r>
      <w:r>
        <w:rPr>
          <w:rStyle w:val="FootnoteReference"/>
          <w:rFonts w:asciiTheme="minorHAnsi" w:hAnsiTheme="minorHAnsi"/>
          <w:sz w:val="16"/>
          <w:vertAlign w:val="baseline"/>
        </w:rPr>
        <w:t xml:space="preserve">, la liste comprend: l’Islande, la Norvège, le </w:t>
      </w:r>
      <w:r w:rsidRPr="0063630B">
        <w:rPr>
          <w:rStyle w:val="FootnoteReference"/>
          <w:rFonts w:asciiTheme="minorHAnsi" w:hAnsiTheme="minorHAnsi" w:cstheme="minorHAnsi"/>
          <w:sz w:val="16"/>
          <w:szCs w:val="16"/>
          <w:vertAlign w:val="baseline"/>
        </w:rPr>
        <w:t>Liechtenstein, la Turquie, la Macédoine du Nord et la Serbie.</w:t>
      </w:r>
    </w:p>
  </w:footnote>
  <w:footnote w:id="3">
    <w:p w:rsidR="006C262E" w:rsidRPr="0063630B" w:rsidRDefault="006C262E" w:rsidP="00625F97">
      <w:pPr>
        <w:pStyle w:val="FootnoteText"/>
        <w:ind w:left="0" w:firstLine="0"/>
        <w:rPr>
          <w:rFonts w:asciiTheme="minorHAnsi" w:hAnsiTheme="minorHAnsi" w:cstheme="minorHAnsi"/>
          <w:sz w:val="16"/>
          <w:szCs w:val="16"/>
        </w:rPr>
      </w:pPr>
      <w:r w:rsidRPr="0063630B">
        <w:rPr>
          <w:rStyle w:val="FootnoteReference"/>
          <w:rFonts w:asciiTheme="minorHAnsi" w:hAnsiTheme="minorHAnsi" w:cstheme="minorHAnsi"/>
          <w:sz w:val="16"/>
          <w:szCs w:val="16"/>
        </w:rPr>
        <w:footnoteRef/>
      </w:r>
      <w:r w:rsidR="0063630B">
        <w:rPr>
          <w:rFonts w:asciiTheme="minorHAnsi" w:hAnsiTheme="minorHAnsi" w:cstheme="minorHAnsi"/>
          <w:sz w:val="16"/>
          <w:szCs w:val="16"/>
        </w:rPr>
        <w:t xml:space="preserve"> </w:t>
      </w:r>
      <w:r w:rsidRPr="0063630B">
        <w:rPr>
          <w:rFonts w:asciiTheme="minorHAnsi" w:hAnsiTheme="minorHAnsi" w:cstheme="minorHAnsi"/>
          <w:sz w:val="16"/>
          <w:szCs w:val="16"/>
        </w:rPr>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footnote>
  <w:footnote w:id="4">
    <w:p w:rsidR="00191D31" w:rsidRPr="0063630B" w:rsidRDefault="00191D31" w:rsidP="00191D31">
      <w:pPr>
        <w:pStyle w:val="Default"/>
        <w:rPr>
          <w:rFonts w:asciiTheme="minorHAnsi" w:hAnsiTheme="minorHAnsi" w:cstheme="minorHAnsi"/>
          <w:sz w:val="16"/>
          <w:szCs w:val="16"/>
        </w:rPr>
      </w:pPr>
      <w:r w:rsidRPr="0063630B">
        <w:rPr>
          <w:rStyle w:val="FootnoteReference"/>
          <w:rFonts w:asciiTheme="minorHAnsi" w:hAnsiTheme="minorHAnsi" w:cstheme="minorHAnsi"/>
          <w:sz w:val="16"/>
          <w:szCs w:val="16"/>
        </w:rPr>
        <w:footnoteRef/>
      </w:r>
      <w:r w:rsidR="0063630B">
        <w:rPr>
          <w:rFonts w:asciiTheme="minorHAnsi" w:hAnsiTheme="minorHAnsi" w:cstheme="minorHAnsi"/>
          <w:sz w:val="16"/>
          <w:szCs w:val="16"/>
        </w:rPr>
        <w:t xml:space="preserve"> </w:t>
      </w:r>
      <w:r w:rsidRPr="0063630B">
        <w:rPr>
          <w:rFonts w:asciiTheme="minorHAnsi" w:hAnsiTheme="minorHAnsi" w:cstheme="minorHAnsi"/>
          <w:sz w:val="16"/>
          <w:szCs w:val="16"/>
        </w:rPr>
        <w:t>Tels qu’exposée dans la résolution du Conseil sur la stratégie de l’Union européenne en faveur de la jeunesse 2019-2027, JO C 456 du 18 décembre 2018.</w:t>
      </w:r>
    </w:p>
    <w:p w:rsidR="00191D31" w:rsidRPr="00191D31" w:rsidRDefault="00191D31">
      <w:pPr>
        <w:pStyle w:val="FootnoteText"/>
      </w:pPr>
    </w:p>
  </w:footnote>
  <w:footnote w:id="5">
    <w:p w:rsidR="00FC28CD" w:rsidRPr="00564D88" w:rsidRDefault="00FC28CD" w:rsidP="00FC28CD">
      <w:pPr>
        <w:pStyle w:val="FootnoteText"/>
        <w:rPr>
          <w:rFonts w:asciiTheme="minorHAnsi" w:hAnsiTheme="minorHAnsi" w:cstheme="minorHAnsi"/>
          <w:smallCaps/>
          <w:sz w:val="16"/>
        </w:rPr>
      </w:pPr>
      <w:r>
        <w:rPr>
          <w:rStyle w:val="FootnoteReference"/>
        </w:rPr>
        <w:footnoteRef/>
      </w:r>
      <w:r>
        <w:tab/>
        <w:t>Sans préjudice de la clause de réserve du présent appel.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F20"/>
    <w:multiLevelType w:val="hybridMultilevel"/>
    <w:tmpl w:val="A5B8F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B352A"/>
    <w:multiLevelType w:val="multilevel"/>
    <w:tmpl w:val="88EE8716"/>
    <w:styleLink w:val="WWOutlineListStyle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1F35104"/>
    <w:multiLevelType w:val="hybridMultilevel"/>
    <w:tmpl w:val="748CA7C0"/>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D29"/>
    <w:multiLevelType w:val="hybridMultilevel"/>
    <w:tmpl w:val="96384DBA"/>
    <w:lvl w:ilvl="0" w:tplc="FDE60E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2C5"/>
    <w:multiLevelType w:val="hybridMultilevel"/>
    <w:tmpl w:val="0D3C0E2A"/>
    <w:lvl w:ilvl="0" w:tplc="A51A80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B5069"/>
    <w:multiLevelType w:val="hybridMultilevel"/>
    <w:tmpl w:val="240C6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124A2"/>
    <w:multiLevelType w:val="singleLevel"/>
    <w:tmpl w:val="8ACC16A0"/>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C2E503A"/>
    <w:multiLevelType w:val="hybridMultilevel"/>
    <w:tmpl w:val="04604546"/>
    <w:lvl w:ilvl="0" w:tplc="E2485E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2A37"/>
    <w:multiLevelType w:val="hybridMultilevel"/>
    <w:tmpl w:val="7FB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05C23"/>
    <w:multiLevelType w:val="hybridMultilevel"/>
    <w:tmpl w:val="FE768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7AF0"/>
    <w:multiLevelType w:val="hybridMultilevel"/>
    <w:tmpl w:val="1E44965A"/>
    <w:lvl w:ilvl="0" w:tplc="D67A9640">
      <w:start w:val="1"/>
      <w:numFmt w:val="bullet"/>
      <w:lvlText w:val="-"/>
      <w:lvlJc w:val="left"/>
      <w:pPr>
        <w:tabs>
          <w:tab w:val="num" w:pos="-360"/>
        </w:tabs>
        <w:ind w:left="264" w:hanging="264"/>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6D65EEB"/>
    <w:multiLevelType w:val="hybridMultilevel"/>
    <w:tmpl w:val="2B665538"/>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3AB1"/>
    <w:multiLevelType w:val="hybridMultilevel"/>
    <w:tmpl w:val="B3A42DB4"/>
    <w:lvl w:ilvl="0" w:tplc="7A2C5234">
      <w:start w:val="1"/>
      <w:numFmt w:val="bullet"/>
      <w:lvlText w:val=""/>
      <w:lvlJc w:val="left"/>
      <w:pPr>
        <w:tabs>
          <w:tab w:val="num" w:pos="-351"/>
        </w:tabs>
        <w:ind w:left="-351" w:hanging="360"/>
      </w:pPr>
      <w:rPr>
        <w:rFonts w:ascii="Symbol" w:hAnsi="Symbol" w:hint="default"/>
        <w:b w:val="0"/>
        <w:i w:val="0"/>
        <w:color w:val="000000"/>
        <w:sz w:val="18"/>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3A726CF6"/>
    <w:multiLevelType w:val="multilevel"/>
    <w:tmpl w:val="B45A89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DBB6CBF"/>
    <w:multiLevelType w:val="hybridMultilevel"/>
    <w:tmpl w:val="F9001740"/>
    <w:lvl w:ilvl="0" w:tplc="741AADB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91510"/>
    <w:multiLevelType w:val="hybridMultilevel"/>
    <w:tmpl w:val="7386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B475B"/>
    <w:multiLevelType w:val="hybridMultilevel"/>
    <w:tmpl w:val="69A41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F7D1E"/>
    <w:multiLevelType w:val="hybridMultilevel"/>
    <w:tmpl w:val="F98CF856"/>
    <w:lvl w:ilvl="0" w:tplc="D2A0C6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54230"/>
    <w:multiLevelType w:val="hybridMultilevel"/>
    <w:tmpl w:val="E2C4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121F3"/>
    <w:multiLevelType w:val="hybridMultilevel"/>
    <w:tmpl w:val="7E982090"/>
    <w:lvl w:ilvl="0" w:tplc="0809000F">
      <w:start w:val="1"/>
      <w:numFmt w:val="decimal"/>
      <w:lvlText w:val="%1."/>
      <w:lvlJc w:val="left"/>
      <w:pPr>
        <w:ind w:left="717" w:hanging="360"/>
      </w:pPr>
    </w:lvl>
    <w:lvl w:ilvl="1" w:tplc="9A3A3B9C">
      <w:start w:val="1"/>
      <w:numFmt w:val="lowerLetter"/>
      <w:lvlText w:val="%2."/>
      <w:lvlJc w:val="left"/>
      <w:pPr>
        <w:ind w:left="360" w:hanging="360"/>
      </w:pPr>
      <w:rPr>
        <w:b w:val="0"/>
        <w:sz w:val="24"/>
        <w:szCs w:val="24"/>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4C103A39"/>
    <w:multiLevelType w:val="hybridMultilevel"/>
    <w:tmpl w:val="C00C201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53749"/>
    <w:multiLevelType w:val="hybridMultilevel"/>
    <w:tmpl w:val="9F0AAFEA"/>
    <w:lvl w:ilvl="0" w:tplc="4A38AD3A">
      <w:start w:val="1"/>
      <w:numFmt w:val="bullet"/>
      <w:lvlText w:val="–"/>
      <w:lvlJc w:val="left"/>
      <w:pPr>
        <w:ind w:left="720" w:hanging="360"/>
      </w:pPr>
      <w:rPr>
        <w:rFonts w:ascii="Trebuchet MS" w:hAnsi="Trebuchet MS"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A67"/>
    <w:multiLevelType w:val="hybridMultilevel"/>
    <w:tmpl w:val="42A073EE"/>
    <w:lvl w:ilvl="0" w:tplc="53D4570E">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010E0"/>
    <w:multiLevelType w:val="hybridMultilevel"/>
    <w:tmpl w:val="B4C21C96"/>
    <w:lvl w:ilvl="0" w:tplc="A9D869C8">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4423C94"/>
    <w:multiLevelType w:val="hybridMultilevel"/>
    <w:tmpl w:val="9D30A6B8"/>
    <w:lvl w:ilvl="0" w:tplc="67160D14">
      <w:start w:val="1"/>
      <w:numFmt w:val="bullet"/>
      <w:lvlText w:val=""/>
      <w:lvlJc w:val="left"/>
      <w:pPr>
        <w:ind w:left="360" w:hanging="360"/>
      </w:pPr>
      <w:rPr>
        <w:rFonts w:ascii="Symbol" w:hAnsi="Symbol" w:hint="default"/>
      </w:rPr>
    </w:lvl>
    <w:lvl w:ilvl="1" w:tplc="1E32CBC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58C1E38"/>
    <w:multiLevelType w:val="hybridMultilevel"/>
    <w:tmpl w:val="F1526FF0"/>
    <w:lvl w:ilvl="0" w:tplc="FDE60E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626511"/>
    <w:multiLevelType w:val="hybridMultilevel"/>
    <w:tmpl w:val="FBEEA1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AA47A2"/>
    <w:multiLevelType w:val="hybridMultilevel"/>
    <w:tmpl w:val="961C5B82"/>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55448"/>
    <w:multiLevelType w:val="hybridMultilevel"/>
    <w:tmpl w:val="2E0246EE"/>
    <w:lvl w:ilvl="0" w:tplc="3EE6798A">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4C73DD"/>
    <w:multiLevelType w:val="hybridMultilevel"/>
    <w:tmpl w:val="7A8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41C50"/>
    <w:multiLevelType w:val="hybridMultilevel"/>
    <w:tmpl w:val="2626FDFC"/>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E964AF5"/>
    <w:multiLevelType w:val="hybridMultilevel"/>
    <w:tmpl w:val="CD42086E"/>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FC12B6"/>
    <w:multiLevelType w:val="hybridMultilevel"/>
    <w:tmpl w:val="F3048084"/>
    <w:lvl w:ilvl="0" w:tplc="FDE60EAA">
      <w:numFmt w:val="bullet"/>
      <w:lvlText w:val="-"/>
      <w:lvlJc w:val="left"/>
      <w:pPr>
        <w:ind w:left="720" w:hanging="360"/>
      </w:pPr>
      <w:rPr>
        <w:rFonts w:ascii="Calibri" w:eastAsia="Times New Roman" w:hAnsi="Calibri" w:cs="Times New Roman"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892586F"/>
    <w:multiLevelType w:val="hybridMultilevel"/>
    <w:tmpl w:val="A2EE043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A69F6"/>
    <w:multiLevelType w:val="hybridMultilevel"/>
    <w:tmpl w:val="40B01168"/>
    <w:lvl w:ilvl="0" w:tplc="08090019">
      <w:start w:val="1"/>
      <w:numFmt w:val="lowerLetter"/>
      <w:lvlText w:val="%1."/>
      <w:lvlJc w:val="left"/>
      <w:pPr>
        <w:ind w:left="720" w:hanging="360"/>
      </w:pPr>
      <w:rPr>
        <w:rFonts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0"/>
  </w:num>
  <w:num w:numId="5">
    <w:abstractNumId w:val="34"/>
  </w:num>
  <w:num w:numId="6">
    <w:abstractNumId w:val="39"/>
  </w:num>
  <w:num w:numId="7">
    <w:abstractNumId w:val="19"/>
  </w:num>
  <w:num w:numId="8">
    <w:abstractNumId w:val="35"/>
  </w:num>
  <w:num w:numId="9">
    <w:abstractNumId w:val="42"/>
  </w:num>
  <w:num w:numId="10">
    <w:abstractNumId w:val="5"/>
  </w:num>
  <w:num w:numId="11">
    <w:abstractNumId w:val="23"/>
  </w:num>
  <w:num w:numId="12">
    <w:abstractNumId w:val="33"/>
  </w:num>
  <w:num w:numId="13">
    <w:abstractNumId w:val="1"/>
  </w:num>
  <w:num w:numId="14">
    <w:abstractNumId w:val="30"/>
  </w:num>
  <w:num w:numId="15">
    <w:abstractNumId w:val="9"/>
  </w:num>
  <w:num w:numId="16">
    <w:abstractNumId w:val="4"/>
  </w:num>
  <w:num w:numId="17">
    <w:abstractNumId w:val="30"/>
  </w:num>
  <w:num w:numId="18">
    <w:abstractNumId w:val="3"/>
  </w:num>
  <w:num w:numId="19">
    <w:abstractNumId w:val="12"/>
  </w:num>
  <w:num w:numId="20">
    <w:abstractNumId w:val="28"/>
  </w:num>
  <w:num w:numId="21">
    <w:abstractNumId w:val="43"/>
  </w:num>
  <w:num w:numId="22">
    <w:abstractNumId w:val="38"/>
  </w:num>
  <w:num w:numId="23">
    <w:abstractNumId w:val="21"/>
  </w:num>
  <w:num w:numId="24">
    <w:abstractNumId w:val="1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7"/>
  </w:num>
  <w:num w:numId="30">
    <w:abstractNumId w:val="29"/>
  </w:num>
  <w:num w:numId="31">
    <w:abstractNumId w:val="31"/>
  </w:num>
  <w:num w:numId="32">
    <w:abstractNumId w:val="18"/>
  </w:num>
  <w:num w:numId="33">
    <w:abstractNumId w:val="40"/>
  </w:num>
  <w:num w:numId="34">
    <w:abstractNumId w:val="6"/>
  </w:num>
  <w:num w:numId="35">
    <w:abstractNumId w:val="25"/>
  </w:num>
  <w:num w:numId="36">
    <w:abstractNumId w:val="6"/>
  </w:num>
  <w:num w:numId="37">
    <w:abstractNumId w:val="8"/>
  </w:num>
  <w:num w:numId="38">
    <w:abstractNumId w:val="41"/>
  </w:num>
  <w:num w:numId="39">
    <w:abstractNumId w:val="24"/>
  </w:num>
  <w:num w:numId="40">
    <w:abstractNumId w:val="27"/>
  </w:num>
  <w:num w:numId="41">
    <w:abstractNumId w:val="36"/>
  </w:num>
  <w:num w:numId="42">
    <w:abstractNumId w:val="22"/>
  </w:num>
  <w:num w:numId="43">
    <w:abstractNumId w:val="10"/>
  </w:num>
  <w:num w:numId="44">
    <w:abstractNumId w:val="26"/>
  </w:num>
  <w:num w:numId="45">
    <w:abstractNumId w:val="2"/>
  </w:num>
  <w:num w:numId="46">
    <w:abstractNumId w:val="32"/>
  </w:num>
  <w:num w:numId="47">
    <w:abstractNumId w:val="17"/>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45708"/>
    <w:rsid w:val="00000078"/>
    <w:rsid w:val="000014EC"/>
    <w:rsid w:val="0000352D"/>
    <w:rsid w:val="000040F3"/>
    <w:rsid w:val="00004320"/>
    <w:rsid w:val="000067AF"/>
    <w:rsid w:val="000072CB"/>
    <w:rsid w:val="00007CBD"/>
    <w:rsid w:val="00010B58"/>
    <w:rsid w:val="00011680"/>
    <w:rsid w:val="00011740"/>
    <w:rsid w:val="000126C3"/>
    <w:rsid w:val="00013470"/>
    <w:rsid w:val="00013CA3"/>
    <w:rsid w:val="00014455"/>
    <w:rsid w:val="000166AE"/>
    <w:rsid w:val="00021374"/>
    <w:rsid w:val="00021968"/>
    <w:rsid w:val="00023685"/>
    <w:rsid w:val="00023E97"/>
    <w:rsid w:val="00025017"/>
    <w:rsid w:val="000258C9"/>
    <w:rsid w:val="000258F3"/>
    <w:rsid w:val="00025BD4"/>
    <w:rsid w:val="00027796"/>
    <w:rsid w:val="00031833"/>
    <w:rsid w:val="00033AC2"/>
    <w:rsid w:val="00034D35"/>
    <w:rsid w:val="0003568B"/>
    <w:rsid w:val="00035816"/>
    <w:rsid w:val="00035C56"/>
    <w:rsid w:val="00037383"/>
    <w:rsid w:val="00041219"/>
    <w:rsid w:val="00041949"/>
    <w:rsid w:val="00042BC0"/>
    <w:rsid w:val="000434DD"/>
    <w:rsid w:val="0004521C"/>
    <w:rsid w:val="00051263"/>
    <w:rsid w:val="00053815"/>
    <w:rsid w:val="000547C5"/>
    <w:rsid w:val="00055827"/>
    <w:rsid w:val="00055C0F"/>
    <w:rsid w:val="00057DF3"/>
    <w:rsid w:val="00060A67"/>
    <w:rsid w:val="00060ABE"/>
    <w:rsid w:val="00061325"/>
    <w:rsid w:val="00062496"/>
    <w:rsid w:val="00062CEF"/>
    <w:rsid w:val="0006486A"/>
    <w:rsid w:val="0006514E"/>
    <w:rsid w:val="00065C3A"/>
    <w:rsid w:val="00066631"/>
    <w:rsid w:val="00067615"/>
    <w:rsid w:val="000719A8"/>
    <w:rsid w:val="0007258F"/>
    <w:rsid w:val="0007566C"/>
    <w:rsid w:val="000761F5"/>
    <w:rsid w:val="00076A05"/>
    <w:rsid w:val="00076BF6"/>
    <w:rsid w:val="000776EE"/>
    <w:rsid w:val="000800E5"/>
    <w:rsid w:val="000802D5"/>
    <w:rsid w:val="0008053A"/>
    <w:rsid w:val="0008061D"/>
    <w:rsid w:val="00080FBF"/>
    <w:rsid w:val="000810D4"/>
    <w:rsid w:val="00081101"/>
    <w:rsid w:val="000823C0"/>
    <w:rsid w:val="00082916"/>
    <w:rsid w:val="000830DF"/>
    <w:rsid w:val="00083966"/>
    <w:rsid w:val="0008416A"/>
    <w:rsid w:val="00084533"/>
    <w:rsid w:val="00084B00"/>
    <w:rsid w:val="00085B78"/>
    <w:rsid w:val="0008706C"/>
    <w:rsid w:val="00087F25"/>
    <w:rsid w:val="000903C6"/>
    <w:rsid w:val="00090400"/>
    <w:rsid w:val="000917A7"/>
    <w:rsid w:val="0009264B"/>
    <w:rsid w:val="00092F85"/>
    <w:rsid w:val="00093691"/>
    <w:rsid w:val="00094C32"/>
    <w:rsid w:val="00095789"/>
    <w:rsid w:val="00097462"/>
    <w:rsid w:val="00097985"/>
    <w:rsid w:val="000A00FB"/>
    <w:rsid w:val="000A0C6C"/>
    <w:rsid w:val="000A56E0"/>
    <w:rsid w:val="000A60DC"/>
    <w:rsid w:val="000A61BB"/>
    <w:rsid w:val="000A6D3F"/>
    <w:rsid w:val="000A784A"/>
    <w:rsid w:val="000B1DA3"/>
    <w:rsid w:val="000B3B49"/>
    <w:rsid w:val="000B3C26"/>
    <w:rsid w:val="000B49B8"/>
    <w:rsid w:val="000B618A"/>
    <w:rsid w:val="000C080D"/>
    <w:rsid w:val="000C1032"/>
    <w:rsid w:val="000C211B"/>
    <w:rsid w:val="000C3B24"/>
    <w:rsid w:val="000C58D3"/>
    <w:rsid w:val="000D2350"/>
    <w:rsid w:val="000D2462"/>
    <w:rsid w:val="000D3242"/>
    <w:rsid w:val="000D394F"/>
    <w:rsid w:val="000D4D14"/>
    <w:rsid w:val="000D501C"/>
    <w:rsid w:val="000D5485"/>
    <w:rsid w:val="000D56F8"/>
    <w:rsid w:val="000D6252"/>
    <w:rsid w:val="000D72E4"/>
    <w:rsid w:val="000D73E1"/>
    <w:rsid w:val="000D7465"/>
    <w:rsid w:val="000D7C7C"/>
    <w:rsid w:val="000E0119"/>
    <w:rsid w:val="000E0162"/>
    <w:rsid w:val="000E0EE7"/>
    <w:rsid w:val="000E2CCE"/>
    <w:rsid w:val="000E2FD2"/>
    <w:rsid w:val="000E440C"/>
    <w:rsid w:val="000E526D"/>
    <w:rsid w:val="000E5EDD"/>
    <w:rsid w:val="000E608A"/>
    <w:rsid w:val="000E7975"/>
    <w:rsid w:val="000E7B45"/>
    <w:rsid w:val="000E7F0F"/>
    <w:rsid w:val="000F038F"/>
    <w:rsid w:val="000F136C"/>
    <w:rsid w:val="000F1417"/>
    <w:rsid w:val="000F18C3"/>
    <w:rsid w:val="000F1CB6"/>
    <w:rsid w:val="000F2E01"/>
    <w:rsid w:val="000F35F6"/>
    <w:rsid w:val="000F49E6"/>
    <w:rsid w:val="000F63FE"/>
    <w:rsid w:val="000F68D1"/>
    <w:rsid w:val="000F6FCB"/>
    <w:rsid w:val="00101DD9"/>
    <w:rsid w:val="0010460F"/>
    <w:rsid w:val="00106DE1"/>
    <w:rsid w:val="001071AE"/>
    <w:rsid w:val="001074D9"/>
    <w:rsid w:val="00107EBF"/>
    <w:rsid w:val="00111699"/>
    <w:rsid w:val="00111772"/>
    <w:rsid w:val="00112941"/>
    <w:rsid w:val="001132D7"/>
    <w:rsid w:val="00114020"/>
    <w:rsid w:val="00114C3A"/>
    <w:rsid w:val="00120AF8"/>
    <w:rsid w:val="001235C7"/>
    <w:rsid w:val="001250A1"/>
    <w:rsid w:val="00125AD2"/>
    <w:rsid w:val="00125CE8"/>
    <w:rsid w:val="001272DB"/>
    <w:rsid w:val="001300BB"/>
    <w:rsid w:val="0013345D"/>
    <w:rsid w:val="001336AA"/>
    <w:rsid w:val="00133EB5"/>
    <w:rsid w:val="00133F54"/>
    <w:rsid w:val="001354D6"/>
    <w:rsid w:val="0013582B"/>
    <w:rsid w:val="00136651"/>
    <w:rsid w:val="0013676C"/>
    <w:rsid w:val="0013710F"/>
    <w:rsid w:val="00137D37"/>
    <w:rsid w:val="001409C9"/>
    <w:rsid w:val="00141341"/>
    <w:rsid w:val="00141535"/>
    <w:rsid w:val="001417E3"/>
    <w:rsid w:val="00142CE0"/>
    <w:rsid w:val="001459B6"/>
    <w:rsid w:val="0014665B"/>
    <w:rsid w:val="001475A9"/>
    <w:rsid w:val="00147B88"/>
    <w:rsid w:val="001507D2"/>
    <w:rsid w:val="00151405"/>
    <w:rsid w:val="0015171B"/>
    <w:rsid w:val="00151B55"/>
    <w:rsid w:val="00151EDC"/>
    <w:rsid w:val="0015214F"/>
    <w:rsid w:val="001528E1"/>
    <w:rsid w:val="00152CBB"/>
    <w:rsid w:val="00154025"/>
    <w:rsid w:val="00156471"/>
    <w:rsid w:val="00157F72"/>
    <w:rsid w:val="0016121D"/>
    <w:rsid w:val="0016158E"/>
    <w:rsid w:val="001615A5"/>
    <w:rsid w:val="00162DEE"/>
    <w:rsid w:val="00163C3C"/>
    <w:rsid w:val="0016468A"/>
    <w:rsid w:val="0016506E"/>
    <w:rsid w:val="001656B8"/>
    <w:rsid w:val="00165B1E"/>
    <w:rsid w:val="001662FB"/>
    <w:rsid w:val="001671F8"/>
    <w:rsid w:val="00167B71"/>
    <w:rsid w:val="001706EE"/>
    <w:rsid w:val="00171F08"/>
    <w:rsid w:val="001728F5"/>
    <w:rsid w:val="00173DA0"/>
    <w:rsid w:val="00173DA1"/>
    <w:rsid w:val="00175F94"/>
    <w:rsid w:val="00176934"/>
    <w:rsid w:val="00176BFC"/>
    <w:rsid w:val="00176E0A"/>
    <w:rsid w:val="00177B23"/>
    <w:rsid w:val="001814E6"/>
    <w:rsid w:val="0018188D"/>
    <w:rsid w:val="0018197D"/>
    <w:rsid w:val="00181D31"/>
    <w:rsid w:val="00182B8E"/>
    <w:rsid w:val="00183A1C"/>
    <w:rsid w:val="00183BBB"/>
    <w:rsid w:val="00183D57"/>
    <w:rsid w:val="00183D5A"/>
    <w:rsid w:val="00183DCB"/>
    <w:rsid w:val="0018428E"/>
    <w:rsid w:val="0018458A"/>
    <w:rsid w:val="00184FB5"/>
    <w:rsid w:val="00186790"/>
    <w:rsid w:val="001867CE"/>
    <w:rsid w:val="00186A0D"/>
    <w:rsid w:val="00190C79"/>
    <w:rsid w:val="00191D31"/>
    <w:rsid w:val="00193FFA"/>
    <w:rsid w:val="00195392"/>
    <w:rsid w:val="001A0715"/>
    <w:rsid w:val="001A0A0E"/>
    <w:rsid w:val="001A2201"/>
    <w:rsid w:val="001A2920"/>
    <w:rsid w:val="001A2B61"/>
    <w:rsid w:val="001A2EF3"/>
    <w:rsid w:val="001A2F71"/>
    <w:rsid w:val="001A3C27"/>
    <w:rsid w:val="001A5317"/>
    <w:rsid w:val="001A776F"/>
    <w:rsid w:val="001A7EEB"/>
    <w:rsid w:val="001B1F99"/>
    <w:rsid w:val="001B209F"/>
    <w:rsid w:val="001B21E1"/>
    <w:rsid w:val="001B2901"/>
    <w:rsid w:val="001B34CE"/>
    <w:rsid w:val="001B3D41"/>
    <w:rsid w:val="001B3F3D"/>
    <w:rsid w:val="001B5974"/>
    <w:rsid w:val="001B5993"/>
    <w:rsid w:val="001C0BEB"/>
    <w:rsid w:val="001C0CEF"/>
    <w:rsid w:val="001C1445"/>
    <w:rsid w:val="001C372A"/>
    <w:rsid w:val="001C4CC6"/>
    <w:rsid w:val="001C53F7"/>
    <w:rsid w:val="001C6231"/>
    <w:rsid w:val="001C7AAA"/>
    <w:rsid w:val="001D017E"/>
    <w:rsid w:val="001D0607"/>
    <w:rsid w:val="001D0EBC"/>
    <w:rsid w:val="001D2998"/>
    <w:rsid w:val="001D2EAA"/>
    <w:rsid w:val="001D2F23"/>
    <w:rsid w:val="001D450C"/>
    <w:rsid w:val="001D48CA"/>
    <w:rsid w:val="001D4C95"/>
    <w:rsid w:val="001D5344"/>
    <w:rsid w:val="001D597D"/>
    <w:rsid w:val="001D5D5E"/>
    <w:rsid w:val="001D7B08"/>
    <w:rsid w:val="001E2276"/>
    <w:rsid w:val="001E267C"/>
    <w:rsid w:val="001E4469"/>
    <w:rsid w:val="001E50B1"/>
    <w:rsid w:val="001E5316"/>
    <w:rsid w:val="001E5C60"/>
    <w:rsid w:val="001E6F1E"/>
    <w:rsid w:val="001F027F"/>
    <w:rsid w:val="001F07F3"/>
    <w:rsid w:val="001F1D1F"/>
    <w:rsid w:val="001F2451"/>
    <w:rsid w:val="001F2A66"/>
    <w:rsid w:val="001F2FF2"/>
    <w:rsid w:val="001F36A8"/>
    <w:rsid w:val="001F55A5"/>
    <w:rsid w:val="001F7072"/>
    <w:rsid w:val="001F7424"/>
    <w:rsid w:val="001F79FB"/>
    <w:rsid w:val="002009E7"/>
    <w:rsid w:val="00201C93"/>
    <w:rsid w:val="0020598E"/>
    <w:rsid w:val="00206E59"/>
    <w:rsid w:val="00207DDD"/>
    <w:rsid w:val="0021109D"/>
    <w:rsid w:val="00211731"/>
    <w:rsid w:val="002119D0"/>
    <w:rsid w:val="002142F5"/>
    <w:rsid w:val="0021556E"/>
    <w:rsid w:val="00215725"/>
    <w:rsid w:val="00216C57"/>
    <w:rsid w:val="0021796B"/>
    <w:rsid w:val="00217B5E"/>
    <w:rsid w:val="00220F81"/>
    <w:rsid w:val="00222451"/>
    <w:rsid w:val="00224A0E"/>
    <w:rsid w:val="00224E19"/>
    <w:rsid w:val="00225FE7"/>
    <w:rsid w:val="0022679F"/>
    <w:rsid w:val="002269BD"/>
    <w:rsid w:val="00226FF6"/>
    <w:rsid w:val="00231125"/>
    <w:rsid w:val="002314EB"/>
    <w:rsid w:val="00231537"/>
    <w:rsid w:val="002318DD"/>
    <w:rsid w:val="00232095"/>
    <w:rsid w:val="002322F2"/>
    <w:rsid w:val="00232744"/>
    <w:rsid w:val="00232AF1"/>
    <w:rsid w:val="00233607"/>
    <w:rsid w:val="00233757"/>
    <w:rsid w:val="00233826"/>
    <w:rsid w:val="00236535"/>
    <w:rsid w:val="002434B2"/>
    <w:rsid w:val="00246FB3"/>
    <w:rsid w:val="0025195F"/>
    <w:rsid w:val="00252566"/>
    <w:rsid w:val="002527BB"/>
    <w:rsid w:val="00253E6C"/>
    <w:rsid w:val="00254500"/>
    <w:rsid w:val="0025509C"/>
    <w:rsid w:val="00255357"/>
    <w:rsid w:val="002572BB"/>
    <w:rsid w:val="00257A9A"/>
    <w:rsid w:val="002600B7"/>
    <w:rsid w:val="00260FD9"/>
    <w:rsid w:val="002613D1"/>
    <w:rsid w:val="002622CB"/>
    <w:rsid w:val="00262F03"/>
    <w:rsid w:val="0026313F"/>
    <w:rsid w:val="00263236"/>
    <w:rsid w:val="00263287"/>
    <w:rsid w:val="00264FCB"/>
    <w:rsid w:val="00265184"/>
    <w:rsid w:val="00267346"/>
    <w:rsid w:val="00267582"/>
    <w:rsid w:val="00267DFA"/>
    <w:rsid w:val="002710CF"/>
    <w:rsid w:val="0027202F"/>
    <w:rsid w:val="00272249"/>
    <w:rsid w:val="002728DF"/>
    <w:rsid w:val="0027401E"/>
    <w:rsid w:val="00275644"/>
    <w:rsid w:val="00275EC9"/>
    <w:rsid w:val="0027717D"/>
    <w:rsid w:val="00277FFC"/>
    <w:rsid w:val="002800EC"/>
    <w:rsid w:val="00280D6C"/>
    <w:rsid w:val="002835AD"/>
    <w:rsid w:val="0028378B"/>
    <w:rsid w:val="002857E0"/>
    <w:rsid w:val="00286F31"/>
    <w:rsid w:val="002904D1"/>
    <w:rsid w:val="002912E5"/>
    <w:rsid w:val="00292C03"/>
    <w:rsid w:val="00292D89"/>
    <w:rsid w:val="002937AF"/>
    <w:rsid w:val="00294654"/>
    <w:rsid w:val="002946EC"/>
    <w:rsid w:val="002948F7"/>
    <w:rsid w:val="00295286"/>
    <w:rsid w:val="00296495"/>
    <w:rsid w:val="002970AE"/>
    <w:rsid w:val="002A0415"/>
    <w:rsid w:val="002A3451"/>
    <w:rsid w:val="002A4552"/>
    <w:rsid w:val="002A471C"/>
    <w:rsid w:val="002A49BC"/>
    <w:rsid w:val="002A57B3"/>
    <w:rsid w:val="002A606A"/>
    <w:rsid w:val="002A626D"/>
    <w:rsid w:val="002B07BE"/>
    <w:rsid w:val="002B07EF"/>
    <w:rsid w:val="002B0960"/>
    <w:rsid w:val="002B1557"/>
    <w:rsid w:val="002B169B"/>
    <w:rsid w:val="002B2569"/>
    <w:rsid w:val="002B2C0C"/>
    <w:rsid w:val="002B3492"/>
    <w:rsid w:val="002B4413"/>
    <w:rsid w:val="002B4E65"/>
    <w:rsid w:val="002B673F"/>
    <w:rsid w:val="002C1212"/>
    <w:rsid w:val="002C499D"/>
    <w:rsid w:val="002C5850"/>
    <w:rsid w:val="002C5CBB"/>
    <w:rsid w:val="002C62FE"/>
    <w:rsid w:val="002D0060"/>
    <w:rsid w:val="002D1989"/>
    <w:rsid w:val="002D198E"/>
    <w:rsid w:val="002D1A92"/>
    <w:rsid w:val="002D1CF0"/>
    <w:rsid w:val="002D4652"/>
    <w:rsid w:val="002D5291"/>
    <w:rsid w:val="002D5D1B"/>
    <w:rsid w:val="002D6501"/>
    <w:rsid w:val="002D7011"/>
    <w:rsid w:val="002E1BA1"/>
    <w:rsid w:val="002E32F7"/>
    <w:rsid w:val="002E40F1"/>
    <w:rsid w:val="002E6714"/>
    <w:rsid w:val="002E6DBC"/>
    <w:rsid w:val="002F005B"/>
    <w:rsid w:val="002F0CB0"/>
    <w:rsid w:val="002F219C"/>
    <w:rsid w:val="002F4D5D"/>
    <w:rsid w:val="002F4D79"/>
    <w:rsid w:val="002F60B3"/>
    <w:rsid w:val="002F6C90"/>
    <w:rsid w:val="002F70E1"/>
    <w:rsid w:val="002F767C"/>
    <w:rsid w:val="002F7B66"/>
    <w:rsid w:val="0030067D"/>
    <w:rsid w:val="003006D3"/>
    <w:rsid w:val="00300980"/>
    <w:rsid w:val="00300C1C"/>
    <w:rsid w:val="0030114C"/>
    <w:rsid w:val="0030147D"/>
    <w:rsid w:val="00304AB7"/>
    <w:rsid w:val="003074B9"/>
    <w:rsid w:val="003077EF"/>
    <w:rsid w:val="0031079E"/>
    <w:rsid w:val="003109B5"/>
    <w:rsid w:val="00311787"/>
    <w:rsid w:val="00312719"/>
    <w:rsid w:val="003157CE"/>
    <w:rsid w:val="00315815"/>
    <w:rsid w:val="0031653A"/>
    <w:rsid w:val="003170D5"/>
    <w:rsid w:val="00321262"/>
    <w:rsid w:val="00322C82"/>
    <w:rsid w:val="00322D32"/>
    <w:rsid w:val="0032302D"/>
    <w:rsid w:val="003232BF"/>
    <w:rsid w:val="00324920"/>
    <w:rsid w:val="003263E1"/>
    <w:rsid w:val="00326702"/>
    <w:rsid w:val="00327D85"/>
    <w:rsid w:val="00330098"/>
    <w:rsid w:val="0033052B"/>
    <w:rsid w:val="00330944"/>
    <w:rsid w:val="00330BEC"/>
    <w:rsid w:val="00330EE2"/>
    <w:rsid w:val="0033207C"/>
    <w:rsid w:val="00335ABE"/>
    <w:rsid w:val="00336F06"/>
    <w:rsid w:val="00341465"/>
    <w:rsid w:val="003416AD"/>
    <w:rsid w:val="00341F5E"/>
    <w:rsid w:val="003422A2"/>
    <w:rsid w:val="00344519"/>
    <w:rsid w:val="00345839"/>
    <w:rsid w:val="0034621C"/>
    <w:rsid w:val="003469DD"/>
    <w:rsid w:val="00346A9A"/>
    <w:rsid w:val="00346E67"/>
    <w:rsid w:val="0035112B"/>
    <w:rsid w:val="00353B38"/>
    <w:rsid w:val="0035453A"/>
    <w:rsid w:val="00354D5E"/>
    <w:rsid w:val="00355510"/>
    <w:rsid w:val="003558B3"/>
    <w:rsid w:val="00355911"/>
    <w:rsid w:val="0036026B"/>
    <w:rsid w:val="00362690"/>
    <w:rsid w:val="00363F4C"/>
    <w:rsid w:val="0036519B"/>
    <w:rsid w:val="003666A3"/>
    <w:rsid w:val="00366C83"/>
    <w:rsid w:val="00366E4B"/>
    <w:rsid w:val="00370A99"/>
    <w:rsid w:val="00371EE7"/>
    <w:rsid w:val="00372A62"/>
    <w:rsid w:val="00372A71"/>
    <w:rsid w:val="00372EDB"/>
    <w:rsid w:val="00373098"/>
    <w:rsid w:val="00373FE1"/>
    <w:rsid w:val="00374075"/>
    <w:rsid w:val="00374C3C"/>
    <w:rsid w:val="00375166"/>
    <w:rsid w:val="00375B40"/>
    <w:rsid w:val="00375ED1"/>
    <w:rsid w:val="00376E6D"/>
    <w:rsid w:val="003806C0"/>
    <w:rsid w:val="00381088"/>
    <w:rsid w:val="00381D66"/>
    <w:rsid w:val="00382682"/>
    <w:rsid w:val="003828CF"/>
    <w:rsid w:val="003832B5"/>
    <w:rsid w:val="00383A6A"/>
    <w:rsid w:val="00383C68"/>
    <w:rsid w:val="00386FD6"/>
    <w:rsid w:val="00387CFE"/>
    <w:rsid w:val="003902DD"/>
    <w:rsid w:val="00390822"/>
    <w:rsid w:val="00390B57"/>
    <w:rsid w:val="003913B8"/>
    <w:rsid w:val="00391CE8"/>
    <w:rsid w:val="00392E27"/>
    <w:rsid w:val="003934C0"/>
    <w:rsid w:val="00394392"/>
    <w:rsid w:val="00394EF9"/>
    <w:rsid w:val="003951A6"/>
    <w:rsid w:val="00395608"/>
    <w:rsid w:val="00395B13"/>
    <w:rsid w:val="003A1A3B"/>
    <w:rsid w:val="003A25D6"/>
    <w:rsid w:val="003A2792"/>
    <w:rsid w:val="003A2A7E"/>
    <w:rsid w:val="003A2E37"/>
    <w:rsid w:val="003A3AD9"/>
    <w:rsid w:val="003A54A5"/>
    <w:rsid w:val="003A6C2D"/>
    <w:rsid w:val="003A6D5D"/>
    <w:rsid w:val="003A7A3E"/>
    <w:rsid w:val="003B03EE"/>
    <w:rsid w:val="003B0D54"/>
    <w:rsid w:val="003B29ED"/>
    <w:rsid w:val="003B2E36"/>
    <w:rsid w:val="003B364A"/>
    <w:rsid w:val="003B6CC2"/>
    <w:rsid w:val="003B6CDD"/>
    <w:rsid w:val="003B7437"/>
    <w:rsid w:val="003B7E15"/>
    <w:rsid w:val="003C0B74"/>
    <w:rsid w:val="003C62BA"/>
    <w:rsid w:val="003C641F"/>
    <w:rsid w:val="003C70D7"/>
    <w:rsid w:val="003D0D3E"/>
    <w:rsid w:val="003D0E17"/>
    <w:rsid w:val="003D0F05"/>
    <w:rsid w:val="003D113C"/>
    <w:rsid w:val="003D114E"/>
    <w:rsid w:val="003D15ED"/>
    <w:rsid w:val="003D19F1"/>
    <w:rsid w:val="003D1B7A"/>
    <w:rsid w:val="003D259C"/>
    <w:rsid w:val="003D32FA"/>
    <w:rsid w:val="003D3948"/>
    <w:rsid w:val="003D4BB5"/>
    <w:rsid w:val="003D4EEE"/>
    <w:rsid w:val="003D6942"/>
    <w:rsid w:val="003D6A43"/>
    <w:rsid w:val="003D70C9"/>
    <w:rsid w:val="003D73CF"/>
    <w:rsid w:val="003E0984"/>
    <w:rsid w:val="003E287C"/>
    <w:rsid w:val="003E5805"/>
    <w:rsid w:val="003E64F0"/>
    <w:rsid w:val="003E6C48"/>
    <w:rsid w:val="003F38E2"/>
    <w:rsid w:val="003F3FD9"/>
    <w:rsid w:val="003F4852"/>
    <w:rsid w:val="003F4BDA"/>
    <w:rsid w:val="003F52C1"/>
    <w:rsid w:val="003F56B2"/>
    <w:rsid w:val="003F645F"/>
    <w:rsid w:val="003F7675"/>
    <w:rsid w:val="003F7C15"/>
    <w:rsid w:val="0040220C"/>
    <w:rsid w:val="00402B81"/>
    <w:rsid w:val="0040374C"/>
    <w:rsid w:val="00403CA8"/>
    <w:rsid w:val="00404B78"/>
    <w:rsid w:val="00405134"/>
    <w:rsid w:val="0040539A"/>
    <w:rsid w:val="00405E47"/>
    <w:rsid w:val="00405E60"/>
    <w:rsid w:val="0040628E"/>
    <w:rsid w:val="00406548"/>
    <w:rsid w:val="00410DF5"/>
    <w:rsid w:val="00411EFB"/>
    <w:rsid w:val="00412DD3"/>
    <w:rsid w:val="0041449F"/>
    <w:rsid w:val="00414D5C"/>
    <w:rsid w:val="00416082"/>
    <w:rsid w:val="004165B2"/>
    <w:rsid w:val="00417D9F"/>
    <w:rsid w:val="0042008C"/>
    <w:rsid w:val="00420271"/>
    <w:rsid w:val="00420DC3"/>
    <w:rsid w:val="00422575"/>
    <w:rsid w:val="00423F9D"/>
    <w:rsid w:val="00424284"/>
    <w:rsid w:val="004245D4"/>
    <w:rsid w:val="004245E2"/>
    <w:rsid w:val="00425300"/>
    <w:rsid w:val="00425432"/>
    <w:rsid w:val="00427150"/>
    <w:rsid w:val="0042759C"/>
    <w:rsid w:val="00430DF2"/>
    <w:rsid w:val="00431BD8"/>
    <w:rsid w:val="00431FD5"/>
    <w:rsid w:val="0043238B"/>
    <w:rsid w:val="0043244C"/>
    <w:rsid w:val="00433D32"/>
    <w:rsid w:val="00433D57"/>
    <w:rsid w:val="00435BB7"/>
    <w:rsid w:val="004367D0"/>
    <w:rsid w:val="00437999"/>
    <w:rsid w:val="00443B40"/>
    <w:rsid w:val="00443DF5"/>
    <w:rsid w:val="00445E7D"/>
    <w:rsid w:val="0044610A"/>
    <w:rsid w:val="004463F7"/>
    <w:rsid w:val="004507B5"/>
    <w:rsid w:val="00450B4C"/>
    <w:rsid w:val="00450D9A"/>
    <w:rsid w:val="004516C8"/>
    <w:rsid w:val="00451938"/>
    <w:rsid w:val="00452829"/>
    <w:rsid w:val="004531E0"/>
    <w:rsid w:val="00454115"/>
    <w:rsid w:val="004558A4"/>
    <w:rsid w:val="00456493"/>
    <w:rsid w:val="00456B94"/>
    <w:rsid w:val="004576EC"/>
    <w:rsid w:val="0046056F"/>
    <w:rsid w:val="004613BB"/>
    <w:rsid w:val="004616D3"/>
    <w:rsid w:val="00464BC4"/>
    <w:rsid w:val="00466949"/>
    <w:rsid w:val="00466C9F"/>
    <w:rsid w:val="00470ED1"/>
    <w:rsid w:val="00471162"/>
    <w:rsid w:val="00471552"/>
    <w:rsid w:val="00473C6F"/>
    <w:rsid w:val="004750D5"/>
    <w:rsid w:val="00475BE6"/>
    <w:rsid w:val="0047612D"/>
    <w:rsid w:val="004824C4"/>
    <w:rsid w:val="00484A4F"/>
    <w:rsid w:val="00485AF1"/>
    <w:rsid w:val="00485B66"/>
    <w:rsid w:val="00485D2E"/>
    <w:rsid w:val="00490497"/>
    <w:rsid w:val="00491340"/>
    <w:rsid w:val="00491375"/>
    <w:rsid w:val="0049149B"/>
    <w:rsid w:val="00492B7E"/>
    <w:rsid w:val="00492FC2"/>
    <w:rsid w:val="004942F7"/>
    <w:rsid w:val="00496DAF"/>
    <w:rsid w:val="004A0CB3"/>
    <w:rsid w:val="004A12E9"/>
    <w:rsid w:val="004A28CD"/>
    <w:rsid w:val="004A2BB1"/>
    <w:rsid w:val="004A3B1A"/>
    <w:rsid w:val="004A64A1"/>
    <w:rsid w:val="004A6D37"/>
    <w:rsid w:val="004A6E1F"/>
    <w:rsid w:val="004A6ED0"/>
    <w:rsid w:val="004A7069"/>
    <w:rsid w:val="004A7402"/>
    <w:rsid w:val="004B0AA6"/>
    <w:rsid w:val="004B11B2"/>
    <w:rsid w:val="004B2452"/>
    <w:rsid w:val="004B2BFC"/>
    <w:rsid w:val="004B34CC"/>
    <w:rsid w:val="004B38A4"/>
    <w:rsid w:val="004B44A2"/>
    <w:rsid w:val="004B50C1"/>
    <w:rsid w:val="004B5A48"/>
    <w:rsid w:val="004B61DE"/>
    <w:rsid w:val="004B7462"/>
    <w:rsid w:val="004B74FD"/>
    <w:rsid w:val="004C00AB"/>
    <w:rsid w:val="004C14FF"/>
    <w:rsid w:val="004C1FA9"/>
    <w:rsid w:val="004C3102"/>
    <w:rsid w:val="004C320B"/>
    <w:rsid w:val="004C354D"/>
    <w:rsid w:val="004C45E3"/>
    <w:rsid w:val="004C48C4"/>
    <w:rsid w:val="004C57E4"/>
    <w:rsid w:val="004C5F5E"/>
    <w:rsid w:val="004C6ADA"/>
    <w:rsid w:val="004C6CBB"/>
    <w:rsid w:val="004D03FA"/>
    <w:rsid w:val="004D1512"/>
    <w:rsid w:val="004D2483"/>
    <w:rsid w:val="004D2E69"/>
    <w:rsid w:val="004D2F55"/>
    <w:rsid w:val="004D50C8"/>
    <w:rsid w:val="004D524D"/>
    <w:rsid w:val="004D5D64"/>
    <w:rsid w:val="004D6246"/>
    <w:rsid w:val="004D6AE8"/>
    <w:rsid w:val="004D7522"/>
    <w:rsid w:val="004D7B08"/>
    <w:rsid w:val="004E025F"/>
    <w:rsid w:val="004E114B"/>
    <w:rsid w:val="004E27F1"/>
    <w:rsid w:val="004E2BA9"/>
    <w:rsid w:val="004E3CD6"/>
    <w:rsid w:val="004E5330"/>
    <w:rsid w:val="004E7256"/>
    <w:rsid w:val="004F1884"/>
    <w:rsid w:val="004F2FA7"/>
    <w:rsid w:val="004F3195"/>
    <w:rsid w:val="004F34B7"/>
    <w:rsid w:val="004F37D7"/>
    <w:rsid w:val="004F3EAE"/>
    <w:rsid w:val="004F57DF"/>
    <w:rsid w:val="004F5B1E"/>
    <w:rsid w:val="004F5EF7"/>
    <w:rsid w:val="004F729D"/>
    <w:rsid w:val="004F72F7"/>
    <w:rsid w:val="004F77F8"/>
    <w:rsid w:val="004F7EE1"/>
    <w:rsid w:val="0050160D"/>
    <w:rsid w:val="00503977"/>
    <w:rsid w:val="00503BBF"/>
    <w:rsid w:val="00505CF5"/>
    <w:rsid w:val="00506C79"/>
    <w:rsid w:val="00507130"/>
    <w:rsid w:val="00507435"/>
    <w:rsid w:val="005119C0"/>
    <w:rsid w:val="0051348E"/>
    <w:rsid w:val="00513C9D"/>
    <w:rsid w:val="00516D77"/>
    <w:rsid w:val="0051704E"/>
    <w:rsid w:val="0052221C"/>
    <w:rsid w:val="00522DC8"/>
    <w:rsid w:val="00524E5A"/>
    <w:rsid w:val="005253AF"/>
    <w:rsid w:val="005254A1"/>
    <w:rsid w:val="00526EC7"/>
    <w:rsid w:val="00526F36"/>
    <w:rsid w:val="005270C7"/>
    <w:rsid w:val="00527234"/>
    <w:rsid w:val="005275F6"/>
    <w:rsid w:val="00527CBA"/>
    <w:rsid w:val="00531C43"/>
    <w:rsid w:val="005322F8"/>
    <w:rsid w:val="005330E1"/>
    <w:rsid w:val="00533C83"/>
    <w:rsid w:val="00533DAD"/>
    <w:rsid w:val="00533DC1"/>
    <w:rsid w:val="00536184"/>
    <w:rsid w:val="005413F2"/>
    <w:rsid w:val="00544D85"/>
    <w:rsid w:val="00545099"/>
    <w:rsid w:val="00545708"/>
    <w:rsid w:val="00545740"/>
    <w:rsid w:val="0054621B"/>
    <w:rsid w:val="00546B08"/>
    <w:rsid w:val="00547AC8"/>
    <w:rsid w:val="00553DB8"/>
    <w:rsid w:val="005545F6"/>
    <w:rsid w:val="00554D92"/>
    <w:rsid w:val="00555280"/>
    <w:rsid w:val="00555654"/>
    <w:rsid w:val="005574E4"/>
    <w:rsid w:val="00561A6E"/>
    <w:rsid w:val="00563CD2"/>
    <w:rsid w:val="00563DAE"/>
    <w:rsid w:val="00564E25"/>
    <w:rsid w:val="00565FFC"/>
    <w:rsid w:val="00570FAB"/>
    <w:rsid w:val="005719C5"/>
    <w:rsid w:val="00572C4F"/>
    <w:rsid w:val="00574538"/>
    <w:rsid w:val="00575EE2"/>
    <w:rsid w:val="005768D6"/>
    <w:rsid w:val="005772A3"/>
    <w:rsid w:val="0057776D"/>
    <w:rsid w:val="00582A39"/>
    <w:rsid w:val="00582F5C"/>
    <w:rsid w:val="00584A66"/>
    <w:rsid w:val="005865C6"/>
    <w:rsid w:val="005917ED"/>
    <w:rsid w:val="00592584"/>
    <w:rsid w:val="0059363B"/>
    <w:rsid w:val="00593EE0"/>
    <w:rsid w:val="00594F51"/>
    <w:rsid w:val="0059537C"/>
    <w:rsid w:val="00595BF7"/>
    <w:rsid w:val="00596C6F"/>
    <w:rsid w:val="005A062B"/>
    <w:rsid w:val="005A19E3"/>
    <w:rsid w:val="005A1F57"/>
    <w:rsid w:val="005A2D3D"/>
    <w:rsid w:val="005A37F2"/>
    <w:rsid w:val="005A3A6D"/>
    <w:rsid w:val="005A3BE3"/>
    <w:rsid w:val="005A433F"/>
    <w:rsid w:val="005A4B23"/>
    <w:rsid w:val="005A697B"/>
    <w:rsid w:val="005B01D7"/>
    <w:rsid w:val="005B1830"/>
    <w:rsid w:val="005B2C63"/>
    <w:rsid w:val="005B2CED"/>
    <w:rsid w:val="005B2D7F"/>
    <w:rsid w:val="005B2E5F"/>
    <w:rsid w:val="005B35E7"/>
    <w:rsid w:val="005B3DB8"/>
    <w:rsid w:val="005B3FFB"/>
    <w:rsid w:val="005B405C"/>
    <w:rsid w:val="005B5245"/>
    <w:rsid w:val="005B6850"/>
    <w:rsid w:val="005B6AA8"/>
    <w:rsid w:val="005C1905"/>
    <w:rsid w:val="005C3AA7"/>
    <w:rsid w:val="005C4BD5"/>
    <w:rsid w:val="005C5285"/>
    <w:rsid w:val="005C6494"/>
    <w:rsid w:val="005C6D23"/>
    <w:rsid w:val="005D19B0"/>
    <w:rsid w:val="005D1B71"/>
    <w:rsid w:val="005D42BB"/>
    <w:rsid w:val="005D4669"/>
    <w:rsid w:val="005D472C"/>
    <w:rsid w:val="005D4E5C"/>
    <w:rsid w:val="005D55C3"/>
    <w:rsid w:val="005D5EAA"/>
    <w:rsid w:val="005D6F67"/>
    <w:rsid w:val="005D78A6"/>
    <w:rsid w:val="005D78DA"/>
    <w:rsid w:val="005E0DD4"/>
    <w:rsid w:val="005E0E73"/>
    <w:rsid w:val="005E1EF2"/>
    <w:rsid w:val="005E2204"/>
    <w:rsid w:val="005E251D"/>
    <w:rsid w:val="005E3005"/>
    <w:rsid w:val="005E542B"/>
    <w:rsid w:val="005E69E7"/>
    <w:rsid w:val="005F0B43"/>
    <w:rsid w:val="005F11EE"/>
    <w:rsid w:val="005F1EB7"/>
    <w:rsid w:val="005F20D3"/>
    <w:rsid w:val="005F23E7"/>
    <w:rsid w:val="005F2F5F"/>
    <w:rsid w:val="005F423C"/>
    <w:rsid w:val="005F43DB"/>
    <w:rsid w:val="005F53DB"/>
    <w:rsid w:val="005F5423"/>
    <w:rsid w:val="005F653A"/>
    <w:rsid w:val="005F6591"/>
    <w:rsid w:val="005F6B10"/>
    <w:rsid w:val="005F71DA"/>
    <w:rsid w:val="005F76DE"/>
    <w:rsid w:val="00600B93"/>
    <w:rsid w:val="00600F4B"/>
    <w:rsid w:val="00601FFD"/>
    <w:rsid w:val="00603C69"/>
    <w:rsid w:val="0060472F"/>
    <w:rsid w:val="00604F4F"/>
    <w:rsid w:val="00605244"/>
    <w:rsid w:val="00606B79"/>
    <w:rsid w:val="006072DE"/>
    <w:rsid w:val="006101DB"/>
    <w:rsid w:val="00610895"/>
    <w:rsid w:val="006109AD"/>
    <w:rsid w:val="006109C4"/>
    <w:rsid w:val="00612627"/>
    <w:rsid w:val="00614719"/>
    <w:rsid w:val="006152F2"/>
    <w:rsid w:val="006167A5"/>
    <w:rsid w:val="00616D4C"/>
    <w:rsid w:val="006203D2"/>
    <w:rsid w:val="00620759"/>
    <w:rsid w:val="00621124"/>
    <w:rsid w:val="00621EDD"/>
    <w:rsid w:val="00624B77"/>
    <w:rsid w:val="006254B5"/>
    <w:rsid w:val="00625F97"/>
    <w:rsid w:val="006267D9"/>
    <w:rsid w:val="00626E4B"/>
    <w:rsid w:val="0062766A"/>
    <w:rsid w:val="00627FCC"/>
    <w:rsid w:val="00632757"/>
    <w:rsid w:val="00633D60"/>
    <w:rsid w:val="00635A61"/>
    <w:rsid w:val="00635E44"/>
    <w:rsid w:val="0063630B"/>
    <w:rsid w:val="006419B0"/>
    <w:rsid w:val="006425A9"/>
    <w:rsid w:val="00643BC6"/>
    <w:rsid w:val="00644F66"/>
    <w:rsid w:val="00646199"/>
    <w:rsid w:val="006461EF"/>
    <w:rsid w:val="00647070"/>
    <w:rsid w:val="0064784B"/>
    <w:rsid w:val="006500B3"/>
    <w:rsid w:val="00651885"/>
    <w:rsid w:val="00651D2A"/>
    <w:rsid w:val="006520C1"/>
    <w:rsid w:val="00652863"/>
    <w:rsid w:val="00652A47"/>
    <w:rsid w:val="00652CB5"/>
    <w:rsid w:val="00652CFC"/>
    <w:rsid w:val="00652FB8"/>
    <w:rsid w:val="0065373F"/>
    <w:rsid w:val="00653E5E"/>
    <w:rsid w:val="00654439"/>
    <w:rsid w:val="00654E92"/>
    <w:rsid w:val="00656571"/>
    <w:rsid w:val="0065761A"/>
    <w:rsid w:val="00660A36"/>
    <w:rsid w:val="00662493"/>
    <w:rsid w:val="00662928"/>
    <w:rsid w:val="00664946"/>
    <w:rsid w:val="00664B55"/>
    <w:rsid w:val="006659AA"/>
    <w:rsid w:val="00665FD2"/>
    <w:rsid w:val="00666F2D"/>
    <w:rsid w:val="00667171"/>
    <w:rsid w:val="0067108E"/>
    <w:rsid w:val="0067257A"/>
    <w:rsid w:val="006728F2"/>
    <w:rsid w:val="00672D44"/>
    <w:rsid w:val="00673357"/>
    <w:rsid w:val="00673AFF"/>
    <w:rsid w:val="00674BC8"/>
    <w:rsid w:val="00680BC6"/>
    <w:rsid w:val="006817D5"/>
    <w:rsid w:val="00681B39"/>
    <w:rsid w:val="00681D4C"/>
    <w:rsid w:val="00682025"/>
    <w:rsid w:val="00682561"/>
    <w:rsid w:val="00684E1D"/>
    <w:rsid w:val="0068571D"/>
    <w:rsid w:val="00690BC6"/>
    <w:rsid w:val="0069277B"/>
    <w:rsid w:val="00692F5C"/>
    <w:rsid w:val="00694E23"/>
    <w:rsid w:val="0069614D"/>
    <w:rsid w:val="00697BAB"/>
    <w:rsid w:val="006A3385"/>
    <w:rsid w:val="006A3B21"/>
    <w:rsid w:val="006A3C5C"/>
    <w:rsid w:val="006A40BA"/>
    <w:rsid w:val="006A4440"/>
    <w:rsid w:val="006A4F7B"/>
    <w:rsid w:val="006A5687"/>
    <w:rsid w:val="006A6478"/>
    <w:rsid w:val="006A6D24"/>
    <w:rsid w:val="006A76BD"/>
    <w:rsid w:val="006A786E"/>
    <w:rsid w:val="006A7CF5"/>
    <w:rsid w:val="006B0791"/>
    <w:rsid w:val="006B0D82"/>
    <w:rsid w:val="006B1B77"/>
    <w:rsid w:val="006B36DB"/>
    <w:rsid w:val="006B3FCD"/>
    <w:rsid w:val="006B529F"/>
    <w:rsid w:val="006B5C00"/>
    <w:rsid w:val="006B5F84"/>
    <w:rsid w:val="006B79AE"/>
    <w:rsid w:val="006C035E"/>
    <w:rsid w:val="006C0F14"/>
    <w:rsid w:val="006C1F76"/>
    <w:rsid w:val="006C262E"/>
    <w:rsid w:val="006C33F2"/>
    <w:rsid w:val="006C340E"/>
    <w:rsid w:val="006C3B1C"/>
    <w:rsid w:val="006C5EB5"/>
    <w:rsid w:val="006C63DB"/>
    <w:rsid w:val="006C6478"/>
    <w:rsid w:val="006D104A"/>
    <w:rsid w:val="006D12D4"/>
    <w:rsid w:val="006D1F69"/>
    <w:rsid w:val="006D3400"/>
    <w:rsid w:val="006D3C9F"/>
    <w:rsid w:val="006D3DB9"/>
    <w:rsid w:val="006D5DD7"/>
    <w:rsid w:val="006D69D5"/>
    <w:rsid w:val="006D719B"/>
    <w:rsid w:val="006E01F6"/>
    <w:rsid w:val="006E03DE"/>
    <w:rsid w:val="006E2C1C"/>
    <w:rsid w:val="006E4F90"/>
    <w:rsid w:val="006E6080"/>
    <w:rsid w:val="006E6350"/>
    <w:rsid w:val="006E6DA1"/>
    <w:rsid w:val="006E7BC4"/>
    <w:rsid w:val="006F0AB9"/>
    <w:rsid w:val="006F1943"/>
    <w:rsid w:val="006F1EBC"/>
    <w:rsid w:val="006F26E3"/>
    <w:rsid w:val="006F2C94"/>
    <w:rsid w:val="006F3ECC"/>
    <w:rsid w:val="006F4203"/>
    <w:rsid w:val="006F5A74"/>
    <w:rsid w:val="006F5FD0"/>
    <w:rsid w:val="006F6CD4"/>
    <w:rsid w:val="006F74BD"/>
    <w:rsid w:val="006F74FB"/>
    <w:rsid w:val="00700698"/>
    <w:rsid w:val="00701452"/>
    <w:rsid w:val="0070321D"/>
    <w:rsid w:val="00704ACB"/>
    <w:rsid w:val="00705532"/>
    <w:rsid w:val="00705FB1"/>
    <w:rsid w:val="00706673"/>
    <w:rsid w:val="007068D1"/>
    <w:rsid w:val="0070750D"/>
    <w:rsid w:val="00710309"/>
    <w:rsid w:val="007108DF"/>
    <w:rsid w:val="00711078"/>
    <w:rsid w:val="00711405"/>
    <w:rsid w:val="00712667"/>
    <w:rsid w:val="007133E6"/>
    <w:rsid w:val="00713D3A"/>
    <w:rsid w:val="00713D87"/>
    <w:rsid w:val="00714A8B"/>
    <w:rsid w:val="00715852"/>
    <w:rsid w:val="007210B2"/>
    <w:rsid w:val="007221E2"/>
    <w:rsid w:val="00722FE4"/>
    <w:rsid w:val="00723471"/>
    <w:rsid w:val="00723C87"/>
    <w:rsid w:val="0072466D"/>
    <w:rsid w:val="00724E3E"/>
    <w:rsid w:val="00726809"/>
    <w:rsid w:val="00726CAD"/>
    <w:rsid w:val="00726DEF"/>
    <w:rsid w:val="007279D9"/>
    <w:rsid w:val="00730ACB"/>
    <w:rsid w:val="00732C16"/>
    <w:rsid w:val="007330D9"/>
    <w:rsid w:val="0073437A"/>
    <w:rsid w:val="00735317"/>
    <w:rsid w:val="0074018D"/>
    <w:rsid w:val="007404BE"/>
    <w:rsid w:val="00740D31"/>
    <w:rsid w:val="00741B5E"/>
    <w:rsid w:val="007425AD"/>
    <w:rsid w:val="00745810"/>
    <w:rsid w:val="00745C1C"/>
    <w:rsid w:val="00746D43"/>
    <w:rsid w:val="00746FA5"/>
    <w:rsid w:val="00750766"/>
    <w:rsid w:val="00750BB9"/>
    <w:rsid w:val="00750C6F"/>
    <w:rsid w:val="00751984"/>
    <w:rsid w:val="00751F1C"/>
    <w:rsid w:val="007529FD"/>
    <w:rsid w:val="00753EF3"/>
    <w:rsid w:val="00755207"/>
    <w:rsid w:val="0075582E"/>
    <w:rsid w:val="00756975"/>
    <w:rsid w:val="007573F1"/>
    <w:rsid w:val="00761235"/>
    <w:rsid w:val="0076196E"/>
    <w:rsid w:val="007649C9"/>
    <w:rsid w:val="007653A3"/>
    <w:rsid w:val="00765446"/>
    <w:rsid w:val="00765A31"/>
    <w:rsid w:val="00767F70"/>
    <w:rsid w:val="007701DD"/>
    <w:rsid w:val="007702CC"/>
    <w:rsid w:val="00771357"/>
    <w:rsid w:val="00771EB6"/>
    <w:rsid w:val="00772FBD"/>
    <w:rsid w:val="00774404"/>
    <w:rsid w:val="00774663"/>
    <w:rsid w:val="007751AE"/>
    <w:rsid w:val="00775A25"/>
    <w:rsid w:val="0077601B"/>
    <w:rsid w:val="0077642A"/>
    <w:rsid w:val="00782623"/>
    <w:rsid w:val="00782D2D"/>
    <w:rsid w:val="007833A6"/>
    <w:rsid w:val="007833F6"/>
    <w:rsid w:val="00783545"/>
    <w:rsid w:val="00790557"/>
    <w:rsid w:val="0079106B"/>
    <w:rsid w:val="00793F55"/>
    <w:rsid w:val="00794ECF"/>
    <w:rsid w:val="007956D4"/>
    <w:rsid w:val="0079641C"/>
    <w:rsid w:val="00796684"/>
    <w:rsid w:val="00797A1C"/>
    <w:rsid w:val="007A1006"/>
    <w:rsid w:val="007A2673"/>
    <w:rsid w:val="007A3875"/>
    <w:rsid w:val="007A3DB0"/>
    <w:rsid w:val="007A520E"/>
    <w:rsid w:val="007A5831"/>
    <w:rsid w:val="007A633C"/>
    <w:rsid w:val="007B0CFA"/>
    <w:rsid w:val="007B1CF6"/>
    <w:rsid w:val="007B1DED"/>
    <w:rsid w:val="007B313C"/>
    <w:rsid w:val="007B45EC"/>
    <w:rsid w:val="007B471D"/>
    <w:rsid w:val="007C2529"/>
    <w:rsid w:val="007C2990"/>
    <w:rsid w:val="007C42C9"/>
    <w:rsid w:val="007C4533"/>
    <w:rsid w:val="007C7BBF"/>
    <w:rsid w:val="007C7FD3"/>
    <w:rsid w:val="007D0096"/>
    <w:rsid w:val="007D0919"/>
    <w:rsid w:val="007D139B"/>
    <w:rsid w:val="007D1475"/>
    <w:rsid w:val="007D1742"/>
    <w:rsid w:val="007D1D76"/>
    <w:rsid w:val="007D7448"/>
    <w:rsid w:val="007E160B"/>
    <w:rsid w:val="007E7921"/>
    <w:rsid w:val="007F0764"/>
    <w:rsid w:val="007F27A0"/>
    <w:rsid w:val="007F2D9B"/>
    <w:rsid w:val="007F34EF"/>
    <w:rsid w:val="007F482C"/>
    <w:rsid w:val="007F590D"/>
    <w:rsid w:val="007F5D06"/>
    <w:rsid w:val="007F6211"/>
    <w:rsid w:val="007F6B47"/>
    <w:rsid w:val="007F6DFB"/>
    <w:rsid w:val="007F75D4"/>
    <w:rsid w:val="00800244"/>
    <w:rsid w:val="00802D00"/>
    <w:rsid w:val="00804659"/>
    <w:rsid w:val="00806BAC"/>
    <w:rsid w:val="0081003E"/>
    <w:rsid w:val="00810DDD"/>
    <w:rsid w:val="00810EF4"/>
    <w:rsid w:val="0081184E"/>
    <w:rsid w:val="00811E19"/>
    <w:rsid w:val="008149E3"/>
    <w:rsid w:val="0081598F"/>
    <w:rsid w:val="00817022"/>
    <w:rsid w:val="008172C8"/>
    <w:rsid w:val="00817E04"/>
    <w:rsid w:val="00821EC1"/>
    <w:rsid w:val="0082265F"/>
    <w:rsid w:val="00822AC3"/>
    <w:rsid w:val="00823DCD"/>
    <w:rsid w:val="00825819"/>
    <w:rsid w:val="00826117"/>
    <w:rsid w:val="008277B6"/>
    <w:rsid w:val="00830B9D"/>
    <w:rsid w:val="008312D1"/>
    <w:rsid w:val="00832196"/>
    <w:rsid w:val="00833029"/>
    <w:rsid w:val="00833C23"/>
    <w:rsid w:val="0083405E"/>
    <w:rsid w:val="00834439"/>
    <w:rsid w:val="00834703"/>
    <w:rsid w:val="008351E2"/>
    <w:rsid w:val="008353E2"/>
    <w:rsid w:val="00836160"/>
    <w:rsid w:val="00836355"/>
    <w:rsid w:val="00836FD0"/>
    <w:rsid w:val="00840072"/>
    <w:rsid w:val="0084011E"/>
    <w:rsid w:val="008418F2"/>
    <w:rsid w:val="008419CF"/>
    <w:rsid w:val="00841BA8"/>
    <w:rsid w:val="008422E9"/>
    <w:rsid w:val="008425D3"/>
    <w:rsid w:val="0084309A"/>
    <w:rsid w:val="008440E4"/>
    <w:rsid w:val="00845296"/>
    <w:rsid w:val="00846972"/>
    <w:rsid w:val="00850F8E"/>
    <w:rsid w:val="008510ED"/>
    <w:rsid w:val="00852052"/>
    <w:rsid w:val="0085226D"/>
    <w:rsid w:val="00852B30"/>
    <w:rsid w:val="00852D13"/>
    <w:rsid w:val="008536DD"/>
    <w:rsid w:val="00855051"/>
    <w:rsid w:val="00855360"/>
    <w:rsid w:val="00856D2C"/>
    <w:rsid w:val="008576A0"/>
    <w:rsid w:val="00857B16"/>
    <w:rsid w:val="0086006A"/>
    <w:rsid w:val="00861829"/>
    <w:rsid w:val="00861D08"/>
    <w:rsid w:val="00864896"/>
    <w:rsid w:val="008658EE"/>
    <w:rsid w:val="00865B3B"/>
    <w:rsid w:val="00865FE9"/>
    <w:rsid w:val="008677FC"/>
    <w:rsid w:val="00870863"/>
    <w:rsid w:val="00871626"/>
    <w:rsid w:val="00871C4F"/>
    <w:rsid w:val="00872547"/>
    <w:rsid w:val="00872ABB"/>
    <w:rsid w:val="00872FCE"/>
    <w:rsid w:val="00873FA6"/>
    <w:rsid w:val="00877656"/>
    <w:rsid w:val="00877D5A"/>
    <w:rsid w:val="00880D5C"/>
    <w:rsid w:val="00881C19"/>
    <w:rsid w:val="00882A30"/>
    <w:rsid w:val="00882A35"/>
    <w:rsid w:val="00882C8E"/>
    <w:rsid w:val="00882FFA"/>
    <w:rsid w:val="0088319A"/>
    <w:rsid w:val="00883E40"/>
    <w:rsid w:val="008846FD"/>
    <w:rsid w:val="0088604E"/>
    <w:rsid w:val="00886F32"/>
    <w:rsid w:val="00887611"/>
    <w:rsid w:val="0089238F"/>
    <w:rsid w:val="00895596"/>
    <w:rsid w:val="008979B7"/>
    <w:rsid w:val="008A20E8"/>
    <w:rsid w:val="008A3AFB"/>
    <w:rsid w:val="008A3E7F"/>
    <w:rsid w:val="008A51C4"/>
    <w:rsid w:val="008A5701"/>
    <w:rsid w:val="008B0647"/>
    <w:rsid w:val="008B07AF"/>
    <w:rsid w:val="008B1DF5"/>
    <w:rsid w:val="008B3026"/>
    <w:rsid w:val="008B3442"/>
    <w:rsid w:val="008B42B8"/>
    <w:rsid w:val="008B467B"/>
    <w:rsid w:val="008B4939"/>
    <w:rsid w:val="008B5BAD"/>
    <w:rsid w:val="008B6CD1"/>
    <w:rsid w:val="008B785A"/>
    <w:rsid w:val="008C0C45"/>
    <w:rsid w:val="008C1855"/>
    <w:rsid w:val="008C1AA1"/>
    <w:rsid w:val="008C335A"/>
    <w:rsid w:val="008C62D7"/>
    <w:rsid w:val="008C62E1"/>
    <w:rsid w:val="008C69D6"/>
    <w:rsid w:val="008C6B8A"/>
    <w:rsid w:val="008D0D44"/>
    <w:rsid w:val="008D2129"/>
    <w:rsid w:val="008D23D0"/>
    <w:rsid w:val="008D630D"/>
    <w:rsid w:val="008D69A5"/>
    <w:rsid w:val="008D70D9"/>
    <w:rsid w:val="008D7356"/>
    <w:rsid w:val="008D7F86"/>
    <w:rsid w:val="008E0163"/>
    <w:rsid w:val="008E1C9C"/>
    <w:rsid w:val="008E1F6E"/>
    <w:rsid w:val="008E2B68"/>
    <w:rsid w:val="008E3353"/>
    <w:rsid w:val="008E3736"/>
    <w:rsid w:val="008E42B0"/>
    <w:rsid w:val="008E551D"/>
    <w:rsid w:val="008F1005"/>
    <w:rsid w:val="008F1503"/>
    <w:rsid w:val="008F39CA"/>
    <w:rsid w:val="008F6F8D"/>
    <w:rsid w:val="008F7461"/>
    <w:rsid w:val="008F7ECB"/>
    <w:rsid w:val="00900169"/>
    <w:rsid w:val="009015C1"/>
    <w:rsid w:val="00902A36"/>
    <w:rsid w:val="00902C86"/>
    <w:rsid w:val="00902E83"/>
    <w:rsid w:val="0090335A"/>
    <w:rsid w:val="0090413D"/>
    <w:rsid w:val="00904980"/>
    <w:rsid w:val="00904B12"/>
    <w:rsid w:val="0090502E"/>
    <w:rsid w:val="00905A8D"/>
    <w:rsid w:val="00907772"/>
    <w:rsid w:val="00910A1A"/>
    <w:rsid w:val="00910A43"/>
    <w:rsid w:val="0091109F"/>
    <w:rsid w:val="009113E6"/>
    <w:rsid w:val="0091189B"/>
    <w:rsid w:val="00911915"/>
    <w:rsid w:val="00911E42"/>
    <w:rsid w:val="00913BFB"/>
    <w:rsid w:val="0091440B"/>
    <w:rsid w:val="00915049"/>
    <w:rsid w:val="00916174"/>
    <w:rsid w:val="00917156"/>
    <w:rsid w:val="00917FA5"/>
    <w:rsid w:val="00921264"/>
    <w:rsid w:val="00921F00"/>
    <w:rsid w:val="0092219C"/>
    <w:rsid w:val="0092528D"/>
    <w:rsid w:val="009268BD"/>
    <w:rsid w:val="00926C9E"/>
    <w:rsid w:val="00927110"/>
    <w:rsid w:val="00927A56"/>
    <w:rsid w:val="00927D94"/>
    <w:rsid w:val="009302D8"/>
    <w:rsid w:val="0093038E"/>
    <w:rsid w:val="00930C2B"/>
    <w:rsid w:val="00931698"/>
    <w:rsid w:val="0093433E"/>
    <w:rsid w:val="00934B01"/>
    <w:rsid w:val="009351E7"/>
    <w:rsid w:val="009355D4"/>
    <w:rsid w:val="00936843"/>
    <w:rsid w:val="009372D2"/>
    <w:rsid w:val="00937CF2"/>
    <w:rsid w:val="0094055F"/>
    <w:rsid w:val="009410C4"/>
    <w:rsid w:val="009410F4"/>
    <w:rsid w:val="0094146D"/>
    <w:rsid w:val="009419D8"/>
    <w:rsid w:val="00942126"/>
    <w:rsid w:val="00942377"/>
    <w:rsid w:val="00943257"/>
    <w:rsid w:val="009443B0"/>
    <w:rsid w:val="00944834"/>
    <w:rsid w:val="00945621"/>
    <w:rsid w:val="0094649D"/>
    <w:rsid w:val="0094658D"/>
    <w:rsid w:val="00946738"/>
    <w:rsid w:val="00946F5C"/>
    <w:rsid w:val="0095066B"/>
    <w:rsid w:val="00950698"/>
    <w:rsid w:val="00950CF4"/>
    <w:rsid w:val="00951469"/>
    <w:rsid w:val="00951B7B"/>
    <w:rsid w:val="00951C45"/>
    <w:rsid w:val="00951E35"/>
    <w:rsid w:val="00952B65"/>
    <w:rsid w:val="00952F8C"/>
    <w:rsid w:val="0095308E"/>
    <w:rsid w:val="00955329"/>
    <w:rsid w:val="009559FB"/>
    <w:rsid w:val="00955BBF"/>
    <w:rsid w:val="00955F55"/>
    <w:rsid w:val="0095624D"/>
    <w:rsid w:val="00956A55"/>
    <w:rsid w:val="00957656"/>
    <w:rsid w:val="00957E1B"/>
    <w:rsid w:val="00960671"/>
    <w:rsid w:val="0096082E"/>
    <w:rsid w:val="009614D6"/>
    <w:rsid w:val="009624D8"/>
    <w:rsid w:val="00962E6A"/>
    <w:rsid w:val="00962EB8"/>
    <w:rsid w:val="00963370"/>
    <w:rsid w:val="00965883"/>
    <w:rsid w:val="00965ACC"/>
    <w:rsid w:val="00966261"/>
    <w:rsid w:val="0096779D"/>
    <w:rsid w:val="00970A26"/>
    <w:rsid w:val="00970DC5"/>
    <w:rsid w:val="009729FD"/>
    <w:rsid w:val="00976723"/>
    <w:rsid w:val="0098037F"/>
    <w:rsid w:val="00980F7F"/>
    <w:rsid w:val="009831E7"/>
    <w:rsid w:val="0098326C"/>
    <w:rsid w:val="00983BF4"/>
    <w:rsid w:val="009853CC"/>
    <w:rsid w:val="00987905"/>
    <w:rsid w:val="009901C4"/>
    <w:rsid w:val="00990899"/>
    <w:rsid w:val="009917CB"/>
    <w:rsid w:val="009926A9"/>
    <w:rsid w:val="009944AB"/>
    <w:rsid w:val="009953CB"/>
    <w:rsid w:val="009959CF"/>
    <w:rsid w:val="00996F4E"/>
    <w:rsid w:val="009A0CB9"/>
    <w:rsid w:val="009A2486"/>
    <w:rsid w:val="009A52B3"/>
    <w:rsid w:val="009A6BFC"/>
    <w:rsid w:val="009A7F6A"/>
    <w:rsid w:val="009B0BA3"/>
    <w:rsid w:val="009B0E42"/>
    <w:rsid w:val="009B0E98"/>
    <w:rsid w:val="009B1EF2"/>
    <w:rsid w:val="009B2694"/>
    <w:rsid w:val="009B2E6C"/>
    <w:rsid w:val="009B3473"/>
    <w:rsid w:val="009B3705"/>
    <w:rsid w:val="009B3E12"/>
    <w:rsid w:val="009B48D9"/>
    <w:rsid w:val="009B5564"/>
    <w:rsid w:val="009B59E3"/>
    <w:rsid w:val="009B5C6D"/>
    <w:rsid w:val="009B659E"/>
    <w:rsid w:val="009B6A45"/>
    <w:rsid w:val="009C1C18"/>
    <w:rsid w:val="009C2034"/>
    <w:rsid w:val="009C2A86"/>
    <w:rsid w:val="009C2B08"/>
    <w:rsid w:val="009C2C27"/>
    <w:rsid w:val="009C4B77"/>
    <w:rsid w:val="009C542A"/>
    <w:rsid w:val="009C5FFB"/>
    <w:rsid w:val="009C659D"/>
    <w:rsid w:val="009C6AB7"/>
    <w:rsid w:val="009D1299"/>
    <w:rsid w:val="009D1F78"/>
    <w:rsid w:val="009D20D1"/>
    <w:rsid w:val="009D2392"/>
    <w:rsid w:val="009D2765"/>
    <w:rsid w:val="009D2CB7"/>
    <w:rsid w:val="009D2CF5"/>
    <w:rsid w:val="009D2D57"/>
    <w:rsid w:val="009D39D5"/>
    <w:rsid w:val="009D4591"/>
    <w:rsid w:val="009D5EC2"/>
    <w:rsid w:val="009D66D8"/>
    <w:rsid w:val="009E2DC0"/>
    <w:rsid w:val="009E396E"/>
    <w:rsid w:val="009E3E80"/>
    <w:rsid w:val="009E4C9F"/>
    <w:rsid w:val="009E5678"/>
    <w:rsid w:val="009E66F2"/>
    <w:rsid w:val="009E788E"/>
    <w:rsid w:val="009F081D"/>
    <w:rsid w:val="009F0C12"/>
    <w:rsid w:val="009F1299"/>
    <w:rsid w:val="009F1370"/>
    <w:rsid w:val="009F2D11"/>
    <w:rsid w:val="009F4C57"/>
    <w:rsid w:val="009F5162"/>
    <w:rsid w:val="009F5E06"/>
    <w:rsid w:val="009F6F39"/>
    <w:rsid w:val="009F707C"/>
    <w:rsid w:val="009F78D6"/>
    <w:rsid w:val="00A001CF"/>
    <w:rsid w:val="00A01584"/>
    <w:rsid w:val="00A0245D"/>
    <w:rsid w:val="00A025DC"/>
    <w:rsid w:val="00A0266A"/>
    <w:rsid w:val="00A02B42"/>
    <w:rsid w:val="00A02F4F"/>
    <w:rsid w:val="00A0374E"/>
    <w:rsid w:val="00A03DAD"/>
    <w:rsid w:val="00A03E61"/>
    <w:rsid w:val="00A057B1"/>
    <w:rsid w:val="00A061EA"/>
    <w:rsid w:val="00A066CF"/>
    <w:rsid w:val="00A0692A"/>
    <w:rsid w:val="00A06FD8"/>
    <w:rsid w:val="00A11906"/>
    <w:rsid w:val="00A14D38"/>
    <w:rsid w:val="00A15000"/>
    <w:rsid w:val="00A17104"/>
    <w:rsid w:val="00A17526"/>
    <w:rsid w:val="00A17536"/>
    <w:rsid w:val="00A17867"/>
    <w:rsid w:val="00A17F78"/>
    <w:rsid w:val="00A20986"/>
    <w:rsid w:val="00A209F8"/>
    <w:rsid w:val="00A20DF9"/>
    <w:rsid w:val="00A211D6"/>
    <w:rsid w:val="00A21681"/>
    <w:rsid w:val="00A226C3"/>
    <w:rsid w:val="00A229A8"/>
    <w:rsid w:val="00A25C02"/>
    <w:rsid w:val="00A269F3"/>
    <w:rsid w:val="00A27F0C"/>
    <w:rsid w:val="00A30430"/>
    <w:rsid w:val="00A30B19"/>
    <w:rsid w:val="00A324DB"/>
    <w:rsid w:val="00A34B8A"/>
    <w:rsid w:val="00A37091"/>
    <w:rsid w:val="00A4243F"/>
    <w:rsid w:val="00A425A5"/>
    <w:rsid w:val="00A42CC2"/>
    <w:rsid w:val="00A43F80"/>
    <w:rsid w:val="00A44260"/>
    <w:rsid w:val="00A45FDA"/>
    <w:rsid w:val="00A4647A"/>
    <w:rsid w:val="00A47BDA"/>
    <w:rsid w:val="00A47D77"/>
    <w:rsid w:val="00A501B8"/>
    <w:rsid w:val="00A50EF6"/>
    <w:rsid w:val="00A51A43"/>
    <w:rsid w:val="00A522AE"/>
    <w:rsid w:val="00A529E4"/>
    <w:rsid w:val="00A54190"/>
    <w:rsid w:val="00A54E8E"/>
    <w:rsid w:val="00A552BB"/>
    <w:rsid w:val="00A5583C"/>
    <w:rsid w:val="00A57854"/>
    <w:rsid w:val="00A6098A"/>
    <w:rsid w:val="00A628FB"/>
    <w:rsid w:val="00A631E1"/>
    <w:rsid w:val="00A63B6C"/>
    <w:rsid w:val="00A66439"/>
    <w:rsid w:val="00A67A6E"/>
    <w:rsid w:val="00A71BED"/>
    <w:rsid w:val="00A71D3D"/>
    <w:rsid w:val="00A7340E"/>
    <w:rsid w:val="00A73BF5"/>
    <w:rsid w:val="00A73EAE"/>
    <w:rsid w:val="00A74C16"/>
    <w:rsid w:val="00A75660"/>
    <w:rsid w:val="00A76310"/>
    <w:rsid w:val="00A76CA0"/>
    <w:rsid w:val="00A831AE"/>
    <w:rsid w:val="00A84C54"/>
    <w:rsid w:val="00A84FE5"/>
    <w:rsid w:val="00A855D4"/>
    <w:rsid w:val="00A8598F"/>
    <w:rsid w:val="00A87056"/>
    <w:rsid w:val="00A871CB"/>
    <w:rsid w:val="00A9062C"/>
    <w:rsid w:val="00A92836"/>
    <w:rsid w:val="00A93C9B"/>
    <w:rsid w:val="00A95399"/>
    <w:rsid w:val="00A95784"/>
    <w:rsid w:val="00A958E8"/>
    <w:rsid w:val="00A966A4"/>
    <w:rsid w:val="00AA0AE7"/>
    <w:rsid w:val="00AA12AB"/>
    <w:rsid w:val="00AA326F"/>
    <w:rsid w:val="00AA4916"/>
    <w:rsid w:val="00AA4C9E"/>
    <w:rsid w:val="00AA54A7"/>
    <w:rsid w:val="00AA5CDD"/>
    <w:rsid w:val="00AA60C8"/>
    <w:rsid w:val="00AA7503"/>
    <w:rsid w:val="00AA7F7C"/>
    <w:rsid w:val="00AB09F7"/>
    <w:rsid w:val="00AB0E77"/>
    <w:rsid w:val="00AB115A"/>
    <w:rsid w:val="00AB14AE"/>
    <w:rsid w:val="00AB18E0"/>
    <w:rsid w:val="00AB450C"/>
    <w:rsid w:val="00AB5052"/>
    <w:rsid w:val="00AB5459"/>
    <w:rsid w:val="00AB5AF5"/>
    <w:rsid w:val="00AB6270"/>
    <w:rsid w:val="00AB799E"/>
    <w:rsid w:val="00AB7AAA"/>
    <w:rsid w:val="00AC028D"/>
    <w:rsid w:val="00AC0BCA"/>
    <w:rsid w:val="00AC0C9A"/>
    <w:rsid w:val="00AC0FCB"/>
    <w:rsid w:val="00AC1907"/>
    <w:rsid w:val="00AC1F07"/>
    <w:rsid w:val="00AC26F4"/>
    <w:rsid w:val="00AC2B08"/>
    <w:rsid w:val="00AC3FF6"/>
    <w:rsid w:val="00AC516C"/>
    <w:rsid w:val="00AC5352"/>
    <w:rsid w:val="00AC5B49"/>
    <w:rsid w:val="00AC66B2"/>
    <w:rsid w:val="00AC66BA"/>
    <w:rsid w:val="00AC6C71"/>
    <w:rsid w:val="00AC6EBC"/>
    <w:rsid w:val="00AD0772"/>
    <w:rsid w:val="00AD07E9"/>
    <w:rsid w:val="00AD4168"/>
    <w:rsid w:val="00AD43FF"/>
    <w:rsid w:val="00AD480C"/>
    <w:rsid w:val="00AD53E8"/>
    <w:rsid w:val="00AD5ACE"/>
    <w:rsid w:val="00AD5C56"/>
    <w:rsid w:val="00AD60BA"/>
    <w:rsid w:val="00AD61A3"/>
    <w:rsid w:val="00AD65EC"/>
    <w:rsid w:val="00AD6DC0"/>
    <w:rsid w:val="00AD709A"/>
    <w:rsid w:val="00AE22FD"/>
    <w:rsid w:val="00AE5382"/>
    <w:rsid w:val="00AE6974"/>
    <w:rsid w:val="00AE6FCD"/>
    <w:rsid w:val="00AE729E"/>
    <w:rsid w:val="00AF2082"/>
    <w:rsid w:val="00AF224B"/>
    <w:rsid w:val="00AF3E5F"/>
    <w:rsid w:val="00AF40F7"/>
    <w:rsid w:val="00AF48FD"/>
    <w:rsid w:val="00AF4E73"/>
    <w:rsid w:val="00AF54AB"/>
    <w:rsid w:val="00AF54BC"/>
    <w:rsid w:val="00AF6F5D"/>
    <w:rsid w:val="00AF7EEF"/>
    <w:rsid w:val="00B0397C"/>
    <w:rsid w:val="00B061B2"/>
    <w:rsid w:val="00B06B31"/>
    <w:rsid w:val="00B06C6C"/>
    <w:rsid w:val="00B1096D"/>
    <w:rsid w:val="00B10DCD"/>
    <w:rsid w:val="00B111A1"/>
    <w:rsid w:val="00B125EE"/>
    <w:rsid w:val="00B12930"/>
    <w:rsid w:val="00B13FDC"/>
    <w:rsid w:val="00B1511D"/>
    <w:rsid w:val="00B174F1"/>
    <w:rsid w:val="00B20F24"/>
    <w:rsid w:val="00B210E4"/>
    <w:rsid w:val="00B21821"/>
    <w:rsid w:val="00B21BC7"/>
    <w:rsid w:val="00B227A9"/>
    <w:rsid w:val="00B235A3"/>
    <w:rsid w:val="00B238F9"/>
    <w:rsid w:val="00B251F2"/>
    <w:rsid w:val="00B256F5"/>
    <w:rsid w:val="00B31353"/>
    <w:rsid w:val="00B316E1"/>
    <w:rsid w:val="00B32DC8"/>
    <w:rsid w:val="00B335D6"/>
    <w:rsid w:val="00B347BD"/>
    <w:rsid w:val="00B3624A"/>
    <w:rsid w:val="00B37146"/>
    <w:rsid w:val="00B37924"/>
    <w:rsid w:val="00B40E50"/>
    <w:rsid w:val="00B43FA1"/>
    <w:rsid w:val="00B4424C"/>
    <w:rsid w:val="00B449A4"/>
    <w:rsid w:val="00B44B5A"/>
    <w:rsid w:val="00B45679"/>
    <w:rsid w:val="00B4771C"/>
    <w:rsid w:val="00B5079C"/>
    <w:rsid w:val="00B53579"/>
    <w:rsid w:val="00B5390F"/>
    <w:rsid w:val="00B53F25"/>
    <w:rsid w:val="00B53FFF"/>
    <w:rsid w:val="00B54BD7"/>
    <w:rsid w:val="00B556DD"/>
    <w:rsid w:val="00B55DF4"/>
    <w:rsid w:val="00B5703F"/>
    <w:rsid w:val="00B600B7"/>
    <w:rsid w:val="00B60A94"/>
    <w:rsid w:val="00B60BC3"/>
    <w:rsid w:val="00B61594"/>
    <w:rsid w:val="00B62CCF"/>
    <w:rsid w:val="00B6392F"/>
    <w:rsid w:val="00B67A24"/>
    <w:rsid w:val="00B7024C"/>
    <w:rsid w:val="00B729B4"/>
    <w:rsid w:val="00B72D3B"/>
    <w:rsid w:val="00B74374"/>
    <w:rsid w:val="00B7459E"/>
    <w:rsid w:val="00B74FED"/>
    <w:rsid w:val="00B76864"/>
    <w:rsid w:val="00B77EB7"/>
    <w:rsid w:val="00B82639"/>
    <w:rsid w:val="00B82FB9"/>
    <w:rsid w:val="00B83258"/>
    <w:rsid w:val="00B8398F"/>
    <w:rsid w:val="00B84B7A"/>
    <w:rsid w:val="00B84DB2"/>
    <w:rsid w:val="00B85380"/>
    <w:rsid w:val="00B85527"/>
    <w:rsid w:val="00B86419"/>
    <w:rsid w:val="00B8653B"/>
    <w:rsid w:val="00B90065"/>
    <w:rsid w:val="00B90BFD"/>
    <w:rsid w:val="00B91655"/>
    <w:rsid w:val="00B93D72"/>
    <w:rsid w:val="00B94CB4"/>
    <w:rsid w:val="00B94D2C"/>
    <w:rsid w:val="00B94E84"/>
    <w:rsid w:val="00B955DF"/>
    <w:rsid w:val="00BA1395"/>
    <w:rsid w:val="00BA1E1B"/>
    <w:rsid w:val="00BA2039"/>
    <w:rsid w:val="00BA247F"/>
    <w:rsid w:val="00BA276B"/>
    <w:rsid w:val="00BA2D7C"/>
    <w:rsid w:val="00BA33FA"/>
    <w:rsid w:val="00BA39D6"/>
    <w:rsid w:val="00BA3DC1"/>
    <w:rsid w:val="00BA57DC"/>
    <w:rsid w:val="00BA702F"/>
    <w:rsid w:val="00BA753C"/>
    <w:rsid w:val="00BA792E"/>
    <w:rsid w:val="00BB011B"/>
    <w:rsid w:val="00BB168D"/>
    <w:rsid w:val="00BB1C99"/>
    <w:rsid w:val="00BB2313"/>
    <w:rsid w:val="00BB2E91"/>
    <w:rsid w:val="00BB4148"/>
    <w:rsid w:val="00BB4FD0"/>
    <w:rsid w:val="00BB5F11"/>
    <w:rsid w:val="00BB72A3"/>
    <w:rsid w:val="00BB7B83"/>
    <w:rsid w:val="00BC0C29"/>
    <w:rsid w:val="00BC10DD"/>
    <w:rsid w:val="00BC1508"/>
    <w:rsid w:val="00BC1EF9"/>
    <w:rsid w:val="00BD0B62"/>
    <w:rsid w:val="00BD0CC5"/>
    <w:rsid w:val="00BD13F2"/>
    <w:rsid w:val="00BD30AD"/>
    <w:rsid w:val="00BD356D"/>
    <w:rsid w:val="00BD53B2"/>
    <w:rsid w:val="00BD7726"/>
    <w:rsid w:val="00BD7A7B"/>
    <w:rsid w:val="00BE0D68"/>
    <w:rsid w:val="00BE21E5"/>
    <w:rsid w:val="00BE2EDD"/>
    <w:rsid w:val="00BE3607"/>
    <w:rsid w:val="00BE6823"/>
    <w:rsid w:val="00BE6AFE"/>
    <w:rsid w:val="00BE7675"/>
    <w:rsid w:val="00BE7BBF"/>
    <w:rsid w:val="00BE7F73"/>
    <w:rsid w:val="00BF1D09"/>
    <w:rsid w:val="00BF26C1"/>
    <w:rsid w:val="00BF2BE1"/>
    <w:rsid w:val="00BF2BE3"/>
    <w:rsid w:val="00BF45AC"/>
    <w:rsid w:val="00BF7468"/>
    <w:rsid w:val="00C0045F"/>
    <w:rsid w:val="00C005EA"/>
    <w:rsid w:val="00C00C66"/>
    <w:rsid w:val="00C01168"/>
    <w:rsid w:val="00C037BA"/>
    <w:rsid w:val="00C05DFD"/>
    <w:rsid w:val="00C07674"/>
    <w:rsid w:val="00C077DA"/>
    <w:rsid w:val="00C11341"/>
    <w:rsid w:val="00C12784"/>
    <w:rsid w:val="00C130DE"/>
    <w:rsid w:val="00C14ECE"/>
    <w:rsid w:val="00C14F3D"/>
    <w:rsid w:val="00C1517B"/>
    <w:rsid w:val="00C15878"/>
    <w:rsid w:val="00C2131E"/>
    <w:rsid w:val="00C21388"/>
    <w:rsid w:val="00C269B0"/>
    <w:rsid w:val="00C26A2F"/>
    <w:rsid w:val="00C26BEF"/>
    <w:rsid w:val="00C27384"/>
    <w:rsid w:val="00C274E8"/>
    <w:rsid w:val="00C27672"/>
    <w:rsid w:val="00C310ED"/>
    <w:rsid w:val="00C33FC2"/>
    <w:rsid w:val="00C3450E"/>
    <w:rsid w:val="00C349DF"/>
    <w:rsid w:val="00C34B2E"/>
    <w:rsid w:val="00C34BE3"/>
    <w:rsid w:val="00C36029"/>
    <w:rsid w:val="00C36DFD"/>
    <w:rsid w:val="00C373EF"/>
    <w:rsid w:val="00C3744E"/>
    <w:rsid w:val="00C40527"/>
    <w:rsid w:val="00C407FD"/>
    <w:rsid w:val="00C40FB9"/>
    <w:rsid w:val="00C41093"/>
    <w:rsid w:val="00C4147A"/>
    <w:rsid w:val="00C4348C"/>
    <w:rsid w:val="00C44301"/>
    <w:rsid w:val="00C46538"/>
    <w:rsid w:val="00C47182"/>
    <w:rsid w:val="00C47A15"/>
    <w:rsid w:val="00C50841"/>
    <w:rsid w:val="00C51316"/>
    <w:rsid w:val="00C52B56"/>
    <w:rsid w:val="00C52BF3"/>
    <w:rsid w:val="00C53953"/>
    <w:rsid w:val="00C55358"/>
    <w:rsid w:val="00C5653D"/>
    <w:rsid w:val="00C56D82"/>
    <w:rsid w:val="00C603FC"/>
    <w:rsid w:val="00C604B5"/>
    <w:rsid w:val="00C632E9"/>
    <w:rsid w:val="00C64B06"/>
    <w:rsid w:val="00C65A0D"/>
    <w:rsid w:val="00C67F1C"/>
    <w:rsid w:val="00C725EF"/>
    <w:rsid w:val="00C766E1"/>
    <w:rsid w:val="00C76E83"/>
    <w:rsid w:val="00C77260"/>
    <w:rsid w:val="00C77777"/>
    <w:rsid w:val="00C77A87"/>
    <w:rsid w:val="00C81DC5"/>
    <w:rsid w:val="00C83A7D"/>
    <w:rsid w:val="00C83BC3"/>
    <w:rsid w:val="00C846FD"/>
    <w:rsid w:val="00C84DFD"/>
    <w:rsid w:val="00C8618D"/>
    <w:rsid w:val="00C8632F"/>
    <w:rsid w:val="00C866E2"/>
    <w:rsid w:val="00C86FDB"/>
    <w:rsid w:val="00C87101"/>
    <w:rsid w:val="00C87AB3"/>
    <w:rsid w:val="00C90531"/>
    <w:rsid w:val="00C90F66"/>
    <w:rsid w:val="00C9215F"/>
    <w:rsid w:val="00C924AC"/>
    <w:rsid w:val="00C93516"/>
    <w:rsid w:val="00C936E7"/>
    <w:rsid w:val="00C940B9"/>
    <w:rsid w:val="00C9499B"/>
    <w:rsid w:val="00C94DF1"/>
    <w:rsid w:val="00C95A7D"/>
    <w:rsid w:val="00C95B98"/>
    <w:rsid w:val="00C966F4"/>
    <w:rsid w:val="00C96EAD"/>
    <w:rsid w:val="00C96F11"/>
    <w:rsid w:val="00C97535"/>
    <w:rsid w:val="00C97B69"/>
    <w:rsid w:val="00CA0893"/>
    <w:rsid w:val="00CA2D67"/>
    <w:rsid w:val="00CA61B2"/>
    <w:rsid w:val="00CA6243"/>
    <w:rsid w:val="00CA692E"/>
    <w:rsid w:val="00CB16FD"/>
    <w:rsid w:val="00CB33F7"/>
    <w:rsid w:val="00CB3F12"/>
    <w:rsid w:val="00CB5299"/>
    <w:rsid w:val="00CB59B3"/>
    <w:rsid w:val="00CB7795"/>
    <w:rsid w:val="00CC097A"/>
    <w:rsid w:val="00CC34E1"/>
    <w:rsid w:val="00CC35A8"/>
    <w:rsid w:val="00CC3778"/>
    <w:rsid w:val="00CC4402"/>
    <w:rsid w:val="00CC5272"/>
    <w:rsid w:val="00CD0166"/>
    <w:rsid w:val="00CD0A6F"/>
    <w:rsid w:val="00CD2735"/>
    <w:rsid w:val="00CD282C"/>
    <w:rsid w:val="00CD3920"/>
    <w:rsid w:val="00CD3B74"/>
    <w:rsid w:val="00CD406B"/>
    <w:rsid w:val="00CD6839"/>
    <w:rsid w:val="00CD72E3"/>
    <w:rsid w:val="00CE1F91"/>
    <w:rsid w:val="00CE2489"/>
    <w:rsid w:val="00CE297D"/>
    <w:rsid w:val="00CE2E6A"/>
    <w:rsid w:val="00CE3025"/>
    <w:rsid w:val="00CE3135"/>
    <w:rsid w:val="00CE7281"/>
    <w:rsid w:val="00CE7BDA"/>
    <w:rsid w:val="00CF04B0"/>
    <w:rsid w:val="00CF0D52"/>
    <w:rsid w:val="00CF136A"/>
    <w:rsid w:val="00CF1CFF"/>
    <w:rsid w:val="00CF2491"/>
    <w:rsid w:val="00CF2AA6"/>
    <w:rsid w:val="00CF2D58"/>
    <w:rsid w:val="00CF382D"/>
    <w:rsid w:val="00CF3930"/>
    <w:rsid w:val="00CF41F4"/>
    <w:rsid w:val="00CF4C60"/>
    <w:rsid w:val="00CF4D38"/>
    <w:rsid w:val="00CF5A1A"/>
    <w:rsid w:val="00CF6217"/>
    <w:rsid w:val="00CF71AC"/>
    <w:rsid w:val="00CF7F83"/>
    <w:rsid w:val="00D00FD4"/>
    <w:rsid w:val="00D01842"/>
    <w:rsid w:val="00D021F0"/>
    <w:rsid w:val="00D034B3"/>
    <w:rsid w:val="00D039AF"/>
    <w:rsid w:val="00D03B5E"/>
    <w:rsid w:val="00D03FDF"/>
    <w:rsid w:val="00D0469C"/>
    <w:rsid w:val="00D060BE"/>
    <w:rsid w:val="00D06591"/>
    <w:rsid w:val="00D0798A"/>
    <w:rsid w:val="00D0799C"/>
    <w:rsid w:val="00D07C7B"/>
    <w:rsid w:val="00D07D30"/>
    <w:rsid w:val="00D12145"/>
    <w:rsid w:val="00D134FA"/>
    <w:rsid w:val="00D13F41"/>
    <w:rsid w:val="00D1532E"/>
    <w:rsid w:val="00D15460"/>
    <w:rsid w:val="00D156C0"/>
    <w:rsid w:val="00D16918"/>
    <w:rsid w:val="00D213D5"/>
    <w:rsid w:val="00D220D0"/>
    <w:rsid w:val="00D2383F"/>
    <w:rsid w:val="00D23E07"/>
    <w:rsid w:val="00D24742"/>
    <w:rsid w:val="00D24A24"/>
    <w:rsid w:val="00D3159B"/>
    <w:rsid w:val="00D329E3"/>
    <w:rsid w:val="00D33598"/>
    <w:rsid w:val="00D33EF5"/>
    <w:rsid w:val="00D342B8"/>
    <w:rsid w:val="00D3560E"/>
    <w:rsid w:val="00D35979"/>
    <w:rsid w:val="00D363E1"/>
    <w:rsid w:val="00D37830"/>
    <w:rsid w:val="00D406F9"/>
    <w:rsid w:val="00D40952"/>
    <w:rsid w:val="00D40A9B"/>
    <w:rsid w:val="00D413B0"/>
    <w:rsid w:val="00D44898"/>
    <w:rsid w:val="00D449DE"/>
    <w:rsid w:val="00D45835"/>
    <w:rsid w:val="00D45D66"/>
    <w:rsid w:val="00D45E6E"/>
    <w:rsid w:val="00D45EDB"/>
    <w:rsid w:val="00D47F7D"/>
    <w:rsid w:val="00D50A1D"/>
    <w:rsid w:val="00D51D03"/>
    <w:rsid w:val="00D52FB8"/>
    <w:rsid w:val="00D533DA"/>
    <w:rsid w:val="00D53F61"/>
    <w:rsid w:val="00D54BC9"/>
    <w:rsid w:val="00D550E6"/>
    <w:rsid w:val="00D55AA3"/>
    <w:rsid w:val="00D60922"/>
    <w:rsid w:val="00D60C02"/>
    <w:rsid w:val="00D615AE"/>
    <w:rsid w:val="00D635DF"/>
    <w:rsid w:val="00D6370B"/>
    <w:rsid w:val="00D6419A"/>
    <w:rsid w:val="00D643A3"/>
    <w:rsid w:val="00D64996"/>
    <w:rsid w:val="00D65355"/>
    <w:rsid w:val="00D65A53"/>
    <w:rsid w:val="00D66AF1"/>
    <w:rsid w:val="00D67651"/>
    <w:rsid w:val="00D67E2E"/>
    <w:rsid w:val="00D7041D"/>
    <w:rsid w:val="00D716D9"/>
    <w:rsid w:val="00D71BF3"/>
    <w:rsid w:val="00D732BC"/>
    <w:rsid w:val="00D75707"/>
    <w:rsid w:val="00D75EA4"/>
    <w:rsid w:val="00D76712"/>
    <w:rsid w:val="00D7701F"/>
    <w:rsid w:val="00D771DC"/>
    <w:rsid w:val="00D77FCE"/>
    <w:rsid w:val="00D818CE"/>
    <w:rsid w:val="00D819A2"/>
    <w:rsid w:val="00D851C5"/>
    <w:rsid w:val="00D85E14"/>
    <w:rsid w:val="00D876C3"/>
    <w:rsid w:val="00D877AD"/>
    <w:rsid w:val="00D9081A"/>
    <w:rsid w:val="00D909A7"/>
    <w:rsid w:val="00D91CA9"/>
    <w:rsid w:val="00D92B9E"/>
    <w:rsid w:val="00D9451E"/>
    <w:rsid w:val="00D94B24"/>
    <w:rsid w:val="00D950B5"/>
    <w:rsid w:val="00D95D85"/>
    <w:rsid w:val="00DA17B4"/>
    <w:rsid w:val="00DA3799"/>
    <w:rsid w:val="00DA37B5"/>
    <w:rsid w:val="00DA43AE"/>
    <w:rsid w:val="00DA4C99"/>
    <w:rsid w:val="00DA54FA"/>
    <w:rsid w:val="00DA67C7"/>
    <w:rsid w:val="00DA67CB"/>
    <w:rsid w:val="00DA7554"/>
    <w:rsid w:val="00DB1423"/>
    <w:rsid w:val="00DB2002"/>
    <w:rsid w:val="00DB239C"/>
    <w:rsid w:val="00DB24A2"/>
    <w:rsid w:val="00DB3525"/>
    <w:rsid w:val="00DB4182"/>
    <w:rsid w:val="00DB456B"/>
    <w:rsid w:val="00DB49A6"/>
    <w:rsid w:val="00DB4C4A"/>
    <w:rsid w:val="00DB4EF7"/>
    <w:rsid w:val="00DB4F50"/>
    <w:rsid w:val="00DB4FC5"/>
    <w:rsid w:val="00DB512B"/>
    <w:rsid w:val="00DB60EC"/>
    <w:rsid w:val="00DB679E"/>
    <w:rsid w:val="00DB6ACE"/>
    <w:rsid w:val="00DB76B4"/>
    <w:rsid w:val="00DB7739"/>
    <w:rsid w:val="00DB7AFF"/>
    <w:rsid w:val="00DB7D61"/>
    <w:rsid w:val="00DC0DBF"/>
    <w:rsid w:val="00DC1AAB"/>
    <w:rsid w:val="00DC22F4"/>
    <w:rsid w:val="00DC2C4C"/>
    <w:rsid w:val="00DC2EA8"/>
    <w:rsid w:val="00DC46EE"/>
    <w:rsid w:val="00DC61D5"/>
    <w:rsid w:val="00DC7A42"/>
    <w:rsid w:val="00DC7A74"/>
    <w:rsid w:val="00DD1B17"/>
    <w:rsid w:val="00DD1D71"/>
    <w:rsid w:val="00DD1F81"/>
    <w:rsid w:val="00DD320A"/>
    <w:rsid w:val="00DD35A2"/>
    <w:rsid w:val="00DD3A00"/>
    <w:rsid w:val="00DD3ED1"/>
    <w:rsid w:val="00DD4131"/>
    <w:rsid w:val="00DD4C0F"/>
    <w:rsid w:val="00DD63E9"/>
    <w:rsid w:val="00DD69F9"/>
    <w:rsid w:val="00DD6C80"/>
    <w:rsid w:val="00DE0B27"/>
    <w:rsid w:val="00DE16F5"/>
    <w:rsid w:val="00DE18BD"/>
    <w:rsid w:val="00DE1B52"/>
    <w:rsid w:val="00DE2DB2"/>
    <w:rsid w:val="00DE428B"/>
    <w:rsid w:val="00DE5E91"/>
    <w:rsid w:val="00DE6238"/>
    <w:rsid w:val="00DE64F6"/>
    <w:rsid w:val="00DE779B"/>
    <w:rsid w:val="00DF174B"/>
    <w:rsid w:val="00DF1BB7"/>
    <w:rsid w:val="00DF1FCE"/>
    <w:rsid w:val="00DF3ED0"/>
    <w:rsid w:val="00DF403F"/>
    <w:rsid w:val="00DF5291"/>
    <w:rsid w:val="00DF56DF"/>
    <w:rsid w:val="00DF6D81"/>
    <w:rsid w:val="00DF7467"/>
    <w:rsid w:val="00E00C00"/>
    <w:rsid w:val="00E00DDD"/>
    <w:rsid w:val="00E00F05"/>
    <w:rsid w:val="00E04F28"/>
    <w:rsid w:val="00E050C0"/>
    <w:rsid w:val="00E065C3"/>
    <w:rsid w:val="00E10082"/>
    <w:rsid w:val="00E1195F"/>
    <w:rsid w:val="00E123BE"/>
    <w:rsid w:val="00E14C0A"/>
    <w:rsid w:val="00E15CDF"/>
    <w:rsid w:val="00E16941"/>
    <w:rsid w:val="00E16EF3"/>
    <w:rsid w:val="00E205FF"/>
    <w:rsid w:val="00E2403C"/>
    <w:rsid w:val="00E25C3C"/>
    <w:rsid w:val="00E266A4"/>
    <w:rsid w:val="00E27BCA"/>
    <w:rsid w:val="00E27DF7"/>
    <w:rsid w:val="00E300A1"/>
    <w:rsid w:val="00E308FC"/>
    <w:rsid w:val="00E33584"/>
    <w:rsid w:val="00E33AB3"/>
    <w:rsid w:val="00E33E6A"/>
    <w:rsid w:val="00E33F52"/>
    <w:rsid w:val="00E3404E"/>
    <w:rsid w:val="00E34CA5"/>
    <w:rsid w:val="00E37A3E"/>
    <w:rsid w:val="00E40D1E"/>
    <w:rsid w:val="00E43589"/>
    <w:rsid w:val="00E43851"/>
    <w:rsid w:val="00E44254"/>
    <w:rsid w:val="00E44A88"/>
    <w:rsid w:val="00E45203"/>
    <w:rsid w:val="00E45C89"/>
    <w:rsid w:val="00E463BF"/>
    <w:rsid w:val="00E46AB2"/>
    <w:rsid w:val="00E529EC"/>
    <w:rsid w:val="00E54CE9"/>
    <w:rsid w:val="00E54E83"/>
    <w:rsid w:val="00E55C6C"/>
    <w:rsid w:val="00E56DE3"/>
    <w:rsid w:val="00E6048F"/>
    <w:rsid w:val="00E60514"/>
    <w:rsid w:val="00E6184A"/>
    <w:rsid w:val="00E6247E"/>
    <w:rsid w:val="00E63B65"/>
    <w:rsid w:val="00E646B7"/>
    <w:rsid w:val="00E651E3"/>
    <w:rsid w:val="00E661C0"/>
    <w:rsid w:val="00E66C45"/>
    <w:rsid w:val="00E672D7"/>
    <w:rsid w:val="00E703E0"/>
    <w:rsid w:val="00E7236D"/>
    <w:rsid w:val="00E73041"/>
    <w:rsid w:val="00E731CB"/>
    <w:rsid w:val="00E74810"/>
    <w:rsid w:val="00E7555A"/>
    <w:rsid w:val="00E7563D"/>
    <w:rsid w:val="00E75FF0"/>
    <w:rsid w:val="00E77A4F"/>
    <w:rsid w:val="00E802A3"/>
    <w:rsid w:val="00E807FA"/>
    <w:rsid w:val="00E80E2C"/>
    <w:rsid w:val="00E8103A"/>
    <w:rsid w:val="00E8176F"/>
    <w:rsid w:val="00E82494"/>
    <w:rsid w:val="00E828E9"/>
    <w:rsid w:val="00E85117"/>
    <w:rsid w:val="00E85787"/>
    <w:rsid w:val="00E87291"/>
    <w:rsid w:val="00E90FC3"/>
    <w:rsid w:val="00E911F4"/>
    <w:rsid w:val="00E91214"/>
    <w:rsid w:val="00E91CD0"/>
    <w:rsid w:val="00E9272B"/>
    <w:rsid w:val="00E9550E"/>
    <w:rsid w:val="00E9686B"/>
    <w:rsid w:val="00EA0C1C"/>
    <w:rsid w:val="00EA11B1"/>
    <w:rsid w:val="00EA15D1"/>
    <w:rsid w:val="00EA1F16"/>
    <w:rsid w:val="00EA3076"/>
    <w:rsid w:val="00EA38B1"/>
    <w:rsid w:val="00EA5818"/>
    <w:rsid w:val="00EA6829"/>
    <w:rsid w:val="00EA6C0F"/>
    <w:rsid w:val="00EA6C2F"/>
    <w:rsid w:val="00EA723D"/>
    <w:rsid w:val="00EB02C2"/>
    <w:rsid w:val="00EB114E"/>
    <w:rsid w:val="00EB26E0"/>
    <w:rsid w:val="00EB334E"/>
    <w:rsid w:val="00EB3B74"/>
    <w:rsid w:val="00EB44B8"/>
    <w:rsid w:val="00EB44D3"/>
    <w:rsid w:val="00EB48D7"/>
    <w:rsid w:val="00EB5315"/>
    <w:rsid w:val="00EB6105"/>
    <w:rsid w:val="00EB6A58"/>
    <w:rsid w:val="00EB6BC9"/>
    <w:rsid w:val="00EB776B"/>
    <w:rsid w:val="00EB7B9D"/>
    <w:rsid w:val="00EC10E2"/>
    <w:rsid w:val="00EC20EE"/>
    <w:rsid w:val="00EC473B"/>
    <w:rsid w:val="00EC5179"/>
    <w:rsid w:val="00EC51FA"/>
    <w:rsid w:val="00EC5DBF"/>
    <w:rsid w:val="00ED268F"/>
    <w:rsid w:val="00ED2794"/>
    <w:rsid w:val="00ED301E"/>
    <w:rsid w:val="00ED384E"/>
    <w:rsid w:val="00ED4565"/>
    <w:rsid w:val="00ED45D6"/>
    <w:rsid w:val="00ED6AF2"/>
    <w:rsid w:val="00ED751D"/>
    <w:rsid w:val="00EE1F65"/>
    <w:rsid w:val="00EE2B96"/>
    <w:rsid w:val="00EE355F"/>
    <w:rsid w:val="00EE52CB"/>
    <w:rsid w:val="00EE7A41"/>
    <w:rsid w:val="00EF004F"/>
    <w:rsid w:val="00EF0FA4"/>
    <w:rsid w:val="00EF1CD2"/>
    <w:rsid w:val="00EF2A4E"/>
    <w:rsid w:val="00EF2CC4"/>
    <w:rsid w:val="00EF3D7D"/>
    <w:rsid w:val="00EF416B"/>
    <w:rsid w:val="00EF45F3"/>
    <w:rsid w:val="00EF5097"/>
    <w:rsid w:val="00EF50F3"/>
    <w:rsid w:val="00EF73C2"/>
    <w:rsid w:val="00EF79BF"/>
    <w:rsid w:val="00F00533"/>
    <w:rsid w:val="00F010E9"/>
    <w:rsid w:val="00F018DE"/>
    <w:rsid w:val="00F03F00"/>
    <w:rsid w:val="00F050EC"/>
    <w:rsid w:val="00F052C4"/>
    <w:rsid w:val="00F065D2"/>
    <w:rsid w:val="00F0675F"/>
    <w:rsid w:val="00F1043A"/>
    <w:rsid w:val="00F105C3"/>
    <w:rsid w:val="00F119C2"/>
    <w:rsid w:val="00F11B3D"/>
    <w:rsid w:val="00F12400"/>
    <w:rsid w:val="00F125CC"/>
    <w:rsid w:val="00F1350B"/>
    <w:rsid w:val="00F14A57"/>
    <w:rsid w:val="00F14E99"/>
    <w:rsid w:val="00F15B2B"/>
    <w:rsid w:val="00F16C42"/>
    <w:rsid w:val="00F20188"/>
    <w:rsid w:val="00F22239"/>
    <w:rsid w:val="00F2439E"/>
    <w:rsid w:val="00F24E48"/>
    <w:rsid w:val="00F2523D"/>
    <w:rsid w:val="00F25914"/>
    <w:rsid w:val="00F25D5A"/>
    <w:rsid w:val="00F26022"/>
    <w:rsid w:val="00F26681"/>
    <w:rsid w:val="00F26E4C"/>
    <w:rsid w:val="00F26F73"/>
    <w:rsid w:val="00F275E6"/>
    <w:rsid w:val="00F3132B"/>
    <w:rsid w:val="00F31B00"/>
    <w:rsid w:val="00F32101"/>
    <w:rsid w:val="00F32C54"/>
    <w:rsid w:val="00F3327C"/>
    <w:rsid w:val="00F34B7F"/>
    <w:rsid w:val="00F34E8A"/>
    <w:rsid w:val="00F403CB"/>
    <w:rsid w:val="00F407EC"/>
    <w:rsid w:val="00F4091C"/>
    <w:rsid w:val="00F426E6"/>
    <w:rsid w:val="00F42AFC"/>
    <w:rsid w:val="00F4397D"/>
    <w:rsid w:val="00F4445F"/>
    <w:rsid w:val="00F44775"/>
    <w:rsid w:val="00F452ED"/>
    <w:rsid w:val="00F45380"/>
    <w:rsid w:val="00F45707"/>
    <w:rsid w:val="00F45C90"/>
    <w:rsid w:val="00F45FB6"/>
    <w:rsid w:val="00F4628C"/>
    <w:rsid w:val="00F46493"/>
    <w:rsid w:val="00F47DC6"/>
    <w:rsid w:val="00F47EEF"/>
    <w:rsid w:val="00F527FF"/>
    <w:rsid w:val="00F52B45"/>
    <w:rsid w:val="00F52D19"/>
    <w:rsid w:val="00F533A3"/>
    <w:rsid w:val="00F53EC4"/>
    <w:rsid w:val="00F542D1"/>
    <w:rsid w:val="00F55854"/>
    <w:rsid w:val="00F56799"/>
    <w:rsid w:val="00F57917"/>
    <w:rsid w:val="00F57E5B"/>
    <w:rsid w:val="00F60106"/>
    <w:rsid w:val="00F608B1"/>
    <w:rsid w:val="00F63C02"/>
    <w:rsid w:val="00F64661"/>
    <w:rsid w:val="00F65B53"/>
    <w:rsid w:val="00F65D4C"/>
    <w:rsid w:val="00F67323"/>
    <w:rsid w:val="00F6758A"/>
    <w:rsid w:val="00F707F1"/>
    <w:rsid w:val="00F70DC2"/>
    <w:rsid w:val="00F71D76"/>
    <w:rsid w:val="00F72BF7"/>
    <w:rsid w:val="00F73025"/>
    <w:rsid w:val="00F73B42"/>
    <w:rsid w:val="00F73B6F"/>
    <w:rsid w:val="00F745AD"/>
    <w:rsid w:val="00F74618"/>
    <w:rsid w:val="00F76BF0"/>
    <w:rsid w:val="00F80035"/>
    <w:rsid w:val="00F80823"/>
    <w:rsid w:val="00F8148A"/>
    <w:rsid w:val="00F81868"/>
    <w:rsid w:val="00F81953"/>
    <w:rsid w:val="00F825A0"/>
    <w:rsid w:val="00F82688"/>
    <w:rsid w:val="00F82B09"/>
    <w:rsid w:val="00F8308B"/>
    <w:rsid w:val="00F83399"/>
    <w:rsid w:val="00F83AD9"/>
    <w:rsid w:val="00F86B78"/>
    <w:rsid w:val="00F86CDD"/>
    <w:rsid w:val="00F878DD"/>
    <w:rsid w:val="00F90CDD"/>
    <w:rsid w:val="00F90F3B"/>
    <w:rsid w:val="00F92B29"/>
    <w:rsid w:val="00F94091"/>
    <w:rsid w:val="00F96DEE"/>
    <w:rsid w:val="00F97EDE"/>
    <w:rsid w:val="00FA13DD"/>
    <w:rsid w:val="00FA1A27"/>
    <w:rsid w:val="00FA2006"/>
    <w:rsid w:val="00FA2278"/>
    <w:rsid w:val="00FA4853"/>
    <w:rsid w:val="00FA52B6"/>
    <w:rsid w:val="00FA6E41"/>
    <w:rsid w:val="00FA6F79"/>
    <w:rsid w:val="00FA7B2C"/>
    <w:rsid w:val="00FB0E81"/>
    <w:rsid w:val="00FB0F8D"/>
    <w:rsid w:val="00FB1327"/>
    <w:rsid w:val="00FB30A5"/>
    <w:rsid w:val="00FB3AC1"/>
    <w:rsid w:val="00FB4073"/>
    <w:rsid w:val="00FB4762"/>
    <w:rsid w:val="00FB59FF"/>
    <w:rsid w:val="00FB7958"/>
    <w:rsid w:val="00FC05D7"/>
    <w:rsid w:val="00FC0CC3"/>
    <w:rsid w:val="00FC28CD"/>
    <w:rsid w:val="00FC2C64"/>
    <w:rsid w:val="00FC3C7D"/>
    <w:rsid w:val="00FC6A78"/>
    <w:rsid w:val="00FD0356"/>
    <w:rsid w:val="00FD1B83"/>
    <w:rsid w:val="00FD3384"/>
    <w:rsid w:val="00FD37AE"/>
    <w:rsid w:val="00FD4071"/>
    <w:rsid w:val="00FD5C93"/>
    <w:rsid w:val="00FD6F01"/>
    <w:rsid w:val="00FD785D"/>
    <w:rsid w:val="00FD7AF8"/>
    <w:rsid w:val="00FE06EB"/>
    <w:rsid w:val="00FE3D5D"/>
    <w:rsid w:val="00FE4989"/>
    <w:rsid w:val="00FE684F"/>
    <w:rsid w:val="00FE6AF6"/>
    <w:rsid w:val="00FE702C"/>
    <w:rsid w:val="00FE7400"/>
    <w:rsid w:val="00FE78D6"/>
    <w:rsid w:val="00FF0C15"/>
    <w:rsid w:val="00FF21BF"/>
    <w:rsid w:val="00FF33AD"/>
    <w:rsid w:val="00FF4ACD"/>
    <w:rsid w:val="00FF4D81"/>
    <w:rsid w:val="00FF5F00"/>
    <w:rsid w:val="00F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42E3"/>
  <w15:docId w15:val="{1499B7C6-9038-4C17-85FD-A626375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91"/>
    <w:rPr>
      <w:sz w:val="24"/>
      <w:szCs w:val="24"/>
    </w:rPr>
  </w:style>
  <w:style w:type="paragraph" w:styleId="Heading1">
    <w:name w:val="heading 1"/>
    <w:basedOn w:val="Normal"/>
    <w:next w:val="Normal"/>
    <w:link w:val="Heading1Char"/>
    <w:qFormat/>
    <w:rsid w:val="00457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708"/>
    <w:pPr>
      <w:ind w:right="-567"/>
    </w:pPr>
    <w:rPr>
      <w:rFonts w:ascii="Arial" w:hAnsi="Arial"/>
      <w:sz w:val="16"/>
      <w:szCs w:val="20"/>
      <w:lang w:eastAsia="en-US"/>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545708"/>
    <w:pPr>
      <w:spacing w:after="240"/>
      <w:ind w:left="357" w:hanging="357"/>
      <w:jc w:val="both"/>
    </w:pPr>
    <w:rPr>
      <w:sz w:val="20"/>
      <w:szCs w:val="20"/>
      <w:lang w:eastAsia="en-US"/>
    </w:rPr>
  </w:style>
  <w:style w:type="paragraph" w:customStyle="1" w:styleId="Typedudocument">
    <w:name w:val="Type du document"/>
    <w:basedOn w:val="Normal"/>
    <w:next w:val="Normal"/>
    <w:rsid w:val="00545708"/>
    <w:pPr>
      <w:spacing w:before="360"/>
      <w:jc w:val="center"/>
    </w:pPr>
    <w:rPr>
      <w:b/>
      <w:bC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rsid w:val="00545708"/>
    <w:rPr>
      <w:vertAlign w:val="superscript"/>
    </w:rPr>
  </w:style>
  <w:style w:type="paragraph" w:customStyle="1" w:styleId="ManualHeading1">
    <w:name w:val="Manual Heading 1"/>
    <w:basedOn w:val="Normal"/>
    <w:next w:val="Normal"/>
    <w:rsid w:val="00545708"/>
    <w:pPr>
      <w:keepNext/>
      <w:tabs>
        <w:tab w:val="left" w:pos="850"/>
      </w:tabs>
      <w:spacing w:before="360" w:after="120"/>
      <w:ind w:left="850" w:hanging="850"/>
      <w:jc w:val="both"/>
      <w:outlineLvl w:val="0"/>
    </w:pPr>
    <w:rPr>
      <w:b/>
      <w:bCs/>
      <w:smallCaps/>
    </w:rPr>
  </w:style>
  <w:style w:type="paragraph" w:customStyle="1" w:styleId="Tiret0">
    <w:name w:val="Tiret 0"/>
    <w:basedOn w:val="Normal"/>
    <w:rsid w:val="00545708"/>
    <w:pPr>
      <w:numPr>
        <w:numId w:val="1"/>
      </w:numPr>
      <w:spacing w:before="120" w:after="120"/>
      <w:jc w:val="both"/>
    </w:pPr>
  </w:style>
  <w:style w:type="character" w:styleId="Hyperlink">
    <w:name w:val="Hyperlink"/>
    <w:uiPriority w:val="99"/>
    <w:rsid w:val="00545708"/>
    <w:rPr>
      <w:color w:val="0000FF"/>
      <w:u w:val="single"/>
    </w:rPr>
  </w:style>
  <w:style w:type="character" w:styleId="PageNumber">
    <w:name w:val="page number"/>
    <w:basedOn w:val="DefaultParagraphFont"/>
    <w:rsid w:val="00545708"/>
  </w:style>
  <w:style w:type="table" w:styleId="TableGrid">
    <w:name w:val="Table Grid"/>
    <w:basedOn w:val="TableNormal"/>
    <w:rsid w:val="005E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E3005"/>
    <w:rPr>
      <w:color w:val="606420"/>
      <w:u w:val="single"/>
    </w:rPr>
  </w:style>
  <w:style w:type="paragraph" w:styleId="BalloonText">
    <w:name w:val="Balloon Text"/>
    <w:basedOn w:val="Normal"/>
    <w:link w:val="BalloonTextChar"/>
    <w:rsid w:val="006A5687"/>
    <w:rPr>
      <w:rFonts w:ascii="Tahoma" w:hAnsi="Tahoma" w:cs="Tahoma"/>
      <w:sz w:val="16"/>
      <w:szCs w:val="16"/>
    </w:rPr>
  </w:style>
  <w:style w:type="character" w:customStyle="1" w:styleId="BalloonTextChar">
    <w:name w:val="Balloon Text Char"/>
    <w:link w:val="BalloonText"/>
    <w:rsid w:val="006A5687"/>
    <w:rPr>
      <w:rFonts w:ascii="Tahoma" w:hAnsi="Tahoma" w:cs="Tahoma"/>
      <w:sz w:val="16"/>
      <w:szCs w:val="16"/>
    </w:rPr>
  </w:style>
  <w:style w:type="paragraph" w:customStyle="1" w:styleId="ManualNumPar1">
    <w:name w:val="Manual NumPar 1"/>
    <w:basedOn w:val="Normal"/>
    <w:next w:val="Normal"/>
    <w:rsid w:val="006C6478"/>
    <w:pPr>
      <w:spacing w:before="120" w:after="120"/>
      <w:ind w:left="850" w:hanging="850"/>
      <w:jc w:val="both"/>
    </w:pPr>
    <w:rPr>
      <w:lang w:eastAsia="en-US"/>
    </w:rPr>
  </w:style>
  <w:style w:type="paragraph" w:customStyle="1" w:styleId="Normal6">
    <w:name w:val="Normal6"/>
    <w:basedOn w:val="Normal"/>
    <w:link w:val="Normal6Char"/>
    <w:rsid w:val="00000078"/>
    <w:pPr>
      <w:widowControl w:val="0"/>
      <w:spacing w:after="120"/>
    </w:pPr>
    <w:rPr>
      <w:szCs w:val="20"/>
    </w:rPr>
  </w:style>
  <w:style w:type="character" w:customStyle="1" w:styleId="Normal6Char">
    <w:name w:val="Normal6 Char"/>
    <w:link w:val="Normal6"/>
    <w:rsid w:val="00000078"/>
    <w:rPr>
      <w:sz w:val="24"/>
    </w:rPr>
  </w:style>
  <w:style w:type="numbering" w:customStyle="1" w:styleId="WWOutlineListStyle1">
    <w:name w:val="WW_OutlineListStyle_1"/>
    <w:basedOn w:val="NoList"/>
    <w:rsid w:val="00882A30"/>
    <w:pPr>
      <w:numPr>
        <w:numId w:val="13"/>
      </w:numPr>
    </w:pPr>
  </w:style>
  <w:style w:type="paragraph" w:customStyle="1" w:styleId="Titre11">
    <w:name w:val="Titre 11"/>
    <w:basedOn w:val="Title"/>
    <w:rsid w:val="00882A30"/>
    <w:pPr>
      <w:numPr>
        <w:numId w:val="13"/>
      </w:numPr>
      <w:tabs>
        <w:tab w:val="num" w:pos="850"/>
      </w:tabs>
      <w:suppressAutoHyphens/>
      <w:autoSpaceDN w:val="0"/>
      <w:ind w:left="850" w:hanging="850"/>
      <w:jc w:val="both"/>
      <w:textAlignment w:val="baseline"/>
    </w:pPr>
    <w:rPr>
      <w:rFonts w:ascii="Arial" w:hAnsi="Arial"/>
      <w:bCs w:val="0"/>
      <w:kern w:val="3"/>
      <w:sz w:val="24"/>
      <w:szCs w:val="20"/>
      <w:lang w:eastAsia="zh-CN"/>
    </w:rPr>
  </w:style>
  <w:style w:type="paragraph" w:styleId="BodyText2">
    <w:name w:val="Body Text 2"/>
    <w:aliases w:val="Guide Text"/>
    <w:basedOn w:val="Normal"/>
    <w:link w:val="BodyText2Char"/>
    <w:rsid w:val="00882A30"/>
    <w:pPr>
      <w:suppressAutoHyphens/>
      <w:autoSpaceDN w:val="0"/>
      <w:spacing w:after="120" w:line="240" w:lineRule="exact"/>
      <w:ind w:left="1531"/>
      <w:jc w:val="both"/>
      <w:textAlignment w:val="baseline"/>
    </w:pPr>
    <w:rPr>
      <w:kern w:val="3"/>
      <w:sz w:val="22"/>
      <w:szCs w:val="20"/>
      <w:lang w:eastAsia="zh-CN"/>
    </w:rPr>
  </w:style>
  <w:style w:type="character" w:customStyle="1" w:styleId="BodyText2Char">
    <w:name w:val="Body Text 2 Char"/>
    <w:aliases w:val="Guide Text Char"/>
    <w:link w:val="BodyText2"/>
    <w:rsid w:val="00882A30"/>
    <w:rPr>
      <w:kern w:val="3"/>
      <w:sz w:val="22"/>
      <w:lang w:eastAsia="zh-CN"/>
    </w:rPr>
  </w:style>
  <w:style w:type="paragraph" w:styleId="Title">
    <w:name w:val="Title"/>
    <w:basedOn w:val="Normal"/>
    <w:next w:val="Normal"/>
    <w:link w:val="TitleChar"/>
    <w:qFormat/>
    <w:rsid w:val="00882A30"/>
    <w:pPr>
      <w:spacing w:before="240" w:after="60"/>
      <w:jc w:val="center"/>
      <w:outlineLvl w:val="0"/>
    </w:pPr>
    <w:rPr>
      <w:rFonts w:ascii="Cambria" w:hAnsi="Cambria"/>
      <w:b/>
      <w:bCs/>
      <w:kern w:val="28"/>
      <w:sz w:val="32"/>
      <w:szCs w:val="32"/>
    </w:rPr>
  </w:style>
  <w:style w:type="character" w:customStyle="1" w:styleId="TitleChar">
    <w:name w:val="Title Char"/>
    <w:link w:val="Title"/>
    <w:rsid w:val="00882A30"/>
    <w:rPr>
      <w:rFonts w:ascii="Cambria" w:eastAsia="Times New Roman" w:hAnsi="Cambria" w:cs="Times New Roman"/>
      <w:b/>
      <w:bCs/>
      <w:kern w:val="28"/>
      <w:sz w:val="32"/>
      <w:szCs w:val="32"/>
    </w:rPr>
  </w:style>
  <w:style w:type="paragraph" w:customStyle="1" w:styleId="Footnote">
    <w:name w:val="Footnote"/>
    <w:basedOn w:val="Normal"/>
    <w:rsid w:val="00882A30"/>
    <w:pPr>
      <w:suppressAutoHyphens/>
      <w:autoSpaceDN w:val="0"/>
      <w:textAlignment w:val="baseline"/>
    </w:pPr>
    <w:rPr>
      <w:kern w:val="3"/>
      <w:sz w:val="20"/>
      <w:szCs w:val="20"/>
      <w:lang w:eastAsia="zh-CN"/>
    </w:rPr>
  </w:style>
  <w:style w:type="paragraph" w:styleId="ListParagraph">
    <w:name w:val="List Paragraph"/>
    <w:basedOn w:val="Normal"/>
    <w:uiPriority w:val="34"/>
    <w:qFormat/>
    <w:rsid w:val="00EE52CB"/>
    <w:pPr>
      <w:ind w:left="720"/>
    </w:pPr>
    <w:rPr>
      <w:rFonts w:ascii="Calibri" w:hAnsi="Calibri"/>
      <w:sz w:val="22"/>
      <w:szCs w:val="22"/>
      <w:lang w:eastAsia="en-US"/>
    </w:rPr>
  </w:style>
  <w:style w:type="paragraph" w:styleId="EndnoteText">
    <w:name w:val="endnote text"/>
    <w:basedOn w:val="Normal"/>
    <w:link w:val="EndnoteTextChar"/>
    <w:rsid w:val="007C42C9"/>
    <w:rPr>
      <w:sz w:val="20"/>
      <w:szCs w:val="20"/>
    </w:rPr>
  </w:style>
  <w:style w:type="character" w:customStyle="1" w:styleId="EndnoteTextChar">
    <w:name w:val="Endnote Text Char"/>
    <w:basedOn w:val="DefaultParagraphFont"/>
    <w:link w:val="EndnoteText"/>
    <w:rsid w:val="007C42C9"/>
  </w:style>
  <w:style w:type="character" w:styleId="EndnoteReference">
    <w:name w:val="endnote reference"/>
    <w:rsid w:val="007C42C9"/>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4A6E1F"/>
  </w:style>
  <w:style w:type="paragraph" w:styleId="CommentSubject">
    <w:name w:val="annotation subject"/>
    <w:basedOn w:val="CommentText"/>
    <w:next w:val="CommentText"/>
    <w:link w:val="CommentSubjectChar"/>
    <w:rsid w:val="004A6E1F"/>
    <w:rPr>
      <w:b/>
      <w:bCs/>
    </w:rPr>
  </w:style>
  <w:style w:type="character" w:customStyle="1" w:styleId="CommentSubjectChar">
    <w:name w:val="Comment Subject Char"/>
    <w:link w:val="CommentSubject"/>
    <w:rsid w:val="004A6E1F"/>
    <w:rPr>
      <w:b/>
      <w:bCs/>
    </w:rPr>
  </w:style>
  <w:style w:type="paragraph" w:styleId="Revision">
    <w:name w:val="Revision"/>
    <w:hidden/>
    <w:uiPriority w:val="99"/>
    <w:semiHidden/>
    <w:rsid w:val="005B35E7"/>
    <w:rPr>
      <w:sz w:val="24"/>
      <w:szCs w:val="24"/>
    </w:rPr>
  </w:style>
  <w:style w:type="paragraph" w:customStyle="1" w:styleId="Default">
    <w:name w:val="Default"/>
    <w:rsid w:val="00614719"/>
    <w:pPr>
      <w:autoSpaceDE w:val="0"/>
      <w:autoSpaceDN w:val="0"/>
      <w:adjustRightInd w:val="0"/>
    </w:pPr>
    <w:rPr>
      <w:rFonts w:ascii="EUAlbertina" w:hAnsi="EUAlbertina" w:cs="EUAlbertina"/>
      <w:color w:val="000000"/>
      <w:sz w:val="24"/>
      <w:szCs w:val="24"/>
    </w:rPr>
  </w:style>
  <w:style w:type="paragraph" w:customStyle="1" w:styleId="Guide-Heading4">
    <w:name w:val="Guide - Heading 4"/>
    <w:basedOn w:val="Normal"/>
    <w:rsid w:val="00A831AE"/>
    <w:pPr>
      <w:keepNext/>
      <w:suppressAutoHyphens/>
      <w:autoSpaceDN w:val="0"/>
      <w:spacing w:before="200" w:after="200"/>
      <w:textAlignment w:val="baseline"/>
      <w:outlineLvl w:val="0"/>
    </w:pPr>
    <w:rPr>
      <w:rFonts w:ascii="Tahoma" w:hAnsi="Tahoma" w:cs="Tahoma"/>
      <w:b/>
      <w:smallCaps/>
      <w:kern w:val="3"/>
      <w:szCs w:val="20"/>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6C262E"/>
    <w:rPr>
      <w:lang w:eastAsia="en-US"/>
    </w:rPr>
  </w:style>
  <w:style w:type="table" w:customStyle="1" w:styleId="TableGrid1">
    <w:name w:val="Table Grid1"/>
    <w:basedOn w:val="TableNormal"/>
    <w:uiPriority w:val="59"/>
    <w:rsid w:val="004C5F5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Normal"/>
    <w:link w:val="AMainbodyChar"/>
    <w:qFormat/>
    <w:rsid w:val="00832196"/>
    <w:pPr>
      <w:suppressAutoHyphens/>
      <w:autoSpaceDN w:val="0"/>
      <w:spacing w:after="120"/>
      <w:jc w:val="both"/>
      <w:textAlignment w:val="baseline"/>
    </w:pPr>
    <w:rPr>
      <w:rFonts w:ascii="Calibri" w:hAnsi="Calibri" w:cs="Tahoma"/>
      <w:kern w:val="3"/>
      <w:sz w:val="18"/>
      <w:szCs w:val="18"/>
      <w:shd w:val="clear" w:color="auto" w:fill="FFFFFF"/>
    </w:rPr>
  </w:style>
  <w:style w:type="character" w:customStyle="1" w:styleId="AMainbodyChar">
    <w:name w:val="A.Main body Char"/>
    <w:basedOn w:val="DefaultParagraphFont"/>
    <w:link w:val="AMainbody"/>
    <w:rsid w:val="00832196"/>
    <w:rPr>
      <w:rFonts w:ascii="Calibri" w:hAnsi="Calibri" w:cs="Tahoma"/>
      <w:kern w:val="3"/>
      <w:sz w:val="18"/>
      <w:szCs w:val="18"/>
    </w:rPr>
  </w:style>
  <w:style w:type="paragraph" w:styleId="Header">
    <w:name w:val="header"/>
    <w:basedOn w:val="Normal"/>
    <w:link w:val="HeaderChar"/>
    <w:uiPriority w:val="99"/>
    <w:rsid w:val="00796684"/>
    <w:pPr>
      <w:tabs>
        <w:tab w:val="center" w:pos="4536"/>
        <w:tab w:val="right" w:pos="9072"/>
      </w:tabs>
      <w:suppressAutoHyphens/>
      <w:autoSpaceDN w:val="0"/>
      <w:textAlignment w:val="baseline"/>
    </w:pPr>
    <w:rPr>
      <w:kern w:val="3"/>
      <w:szCs w:val="20"/>
      <w:lang w:eastAsia="zh-CN"/>
    </w:rPr>
  </w:style>
  <w:style w:type="character" w:customStyle="1" w:styleId="HeaderChar">
    <w:name w:val="Header Char"/>
    <w:basedOn w:val="DefaultParagraphFont"/>
    <w:link w:val="Header"/>
    <w:uiPriority w:val="99"/>
    <w:rsid w:val="00796684"/>
    <w:rPr>
      <w:kern w:val="3"/>
      <w:sz w:val="24"/>
      <w:lang w:val="fr-FR" w:eastAsia="zh-CN"/>
    </w:rPr>
  </w:style>
  <w:style w:type="paragraph" w:customStyle="1" w:styleId="Guide-Heading3">
    <w:name w:val="Guide - Heading 3"/>
    <w:basedOn w:val="Normal"/>
    <w:qFormat/>
    <w:rsid w:val="00796684"/>
    <w:pPr>
      <w:keepNext/>
      <w:suppressAutoHyphens/>
      <w:autoSpaceDN w:val="0"/>
      <w:spacing w:before="200" w:after="200"/>
      <w:textAlignment w:val="baseline"/>
      <w:outlineLvl w:val="0"/>
    </w:pPr>
    <w:rPr>
      <w:rFonts w:ascii="Tahoma" w:hAnsi="Tahoma" w:cs="Tahoma"/>
      <w:b/>
      <w:smallCaps/>
      <w:kern w:val="3"/>
      <w:sz w:val="28"/>
      <w:szCs w:val="20"/>
      <w:lang w:eastAsia="zh-CN"/>
    </w:rPr>
  </w:style>
  <w:style w:type="paragraph" w:styleId="Subtitle">
    <w:name w:val="Subtitle"/>
    <w:basedOn w:val="Normal"/>
    <w:next w:val="Normal"/>
    <w:link w:val="SubtitleChar"/>
    <w:qFormat/>
    <w:rsid w:val="00FC28CD"/>
    <w:pPr>
      <w:widowControl w:val="0"/>
      <w:suppressAutoHyphens/>
      <w:autoSpaceDN w:val="0"/>
      <w:spacing w:after="160" w:line="276" w:lineRule="auto"/>
      <w:ind w:left="567" w:hanging="567"/>
      <w:jc w:val="both"/>
      <w:textAlignment w:val="baseline"/>
    </w:pPr>
    <w:rPr>
      <w:rFonts w:asciiTheme="minorHAnsi" w:eastAsia="SimSun" w:hAnsiTheme="minorHAnsi" w:cstheme="minorHAnsi"/>
      <w:smallCaps/>
      <w:kern w:val="3"/>
      <w:sz w:val="28"/>
      <w:szCs w:val="20"/>
      <w:lang w:eastAsia="zh-CN"/>
    </w:rPr>
  </w:style>
  <w:style w:type="character" w:customStyle="1" w:styleId="SubtitleChar">
    <w:name w:val="Subtitle Char"/>
    <w:basedOn w:val="DefaultParagraphFont"/>
    <w:link w:val="Subtitle"/>
    <w:rsid w:val="00FC28CD"/>
    <w:rPr>
      <w:rFonts w:asciiTheme="minorHAnsi" w:eastAsia="SimSun" w:hAnsiTheme="minorHAnsi" w:cstheme="minorHAnsi"/>
      <w:smallCaps/>
      <w:kern w:val="3"/>
      <w:sz w:val="28"/>
      <w:lang w:eastAsia="zh-CN"/>
    </w:rPr>
  </w:style>
  <w:style w:type="character" w:customStyle="1" w:styleId="Heading1Char">
    <w:name w:val="Heading 1 Char"/>
    <w:basedOn w:val="DefaultParagraphFont"/>
    <w:link w:val="Heading1"/>
    <w:rsid w:val="004576E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576EC"/>
    <w:pPr>
      <w:spacing w:line="259" w:lineRule="auto"/>
      <w:outlineLvl w:val="9"/>
    </w:pPr>
    <w:rPr>
      <w:lang w:eastAsia="en-US"/>
    </w:rPr>
  </w:style>
  <w:style w:type="paragraph" w:styleId="TOC1">
    <w:name w:val="toc 1"/>
    <w:basedOn w:val="Normal"/>
    <w:next w:val="Normal"/>
    <w:autoRedefine/>
    <w:uiPriority w:val="39"/>
    <w:unhideWhenUsed/>
    <w:rsid w:val="00D3159B"/>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2910">
      <w:bodyDiv w:val="1"/>
      <w:marLeft w:val="0"/>
      <w:marRight w:val="0"/>
      <w:marTop w:val="0"/>
      <w:marBottom w:val="0"/>
      <w:divBdr>
        <w:top w:val="none" w:sz="0" w:space="0" w:color="auto"/>
        <w:left w:val="none" w:sz="0" w:space="0" w:color="auto"/>
        <w:bottom w:val="none" w:sz="0" w:space="0" w:color="auto"/>
        <w:right w:val="none" w:sz="0" w:space="0" w:color="auto"/>
      </w:divBdr>
    </w:div>
    <w:div w:id="88015547">
      <w:bodyDiv w:val="1"/>
      <w:marLeft w:val="0"/>
      <w:marRight w:val="0"/>
      <w:marTop w:val="0"/>
      <w:marBottom w:val="0"/>
      <w:divBdr>
        <w:top w:val="none" w:sz="0" w:space="0" w:color="auto"/>
        <w:left w:val="none" w:sz="0" w:space="0" w:color="auto"/>
        <w:bottom w:val="none" w:sz="0" w:space="0" w:color="auto"/>
        <w:right w:val="none" w:sz="0" w:space="0" w:color="auto"/>
      </w:divBdr>
    </w:div>
    <w:div w:id="144516041">
      <w:bodyDiv w:val="1"/>
      <w:marLeft w:val="0"/>
      <w:marRight w:val="0"/>
      <w:marTop w:val="0"/>
      <w:marBottom w:val="0"/>
      <w:divBdr>
        <w:top w:val="none" w:sz="0" w:space="0" w:color="auto"/>
        <w:left w:val="none" w:sz="0" w:space="0" w:color="auto"/>
        <w:bottom w:val="none" w:sz="0" w:space="0" w:color="auto"/>
        <w:right w:val="none" w:sz="0" w:space="0" w:color="auto"/>
      </w:divBdr>
    </w:div>
    <w:div w:id="236940429">
      <w:bodyDiv w:val="1"/>
      <w:marLeft w:val="0"/>
      <w:marRight w:val="0"/>
      <w:marTop w:val="0"/>
      <w:marBottom w:val="0"/>
      <w:divBdr>
        <w:top w:val="none" w:sz="0" w:space="0" w:color="auto"/>
        <w:left w:val="none" w:sz="0" w:space="0" w:color="auto"/>
        <w:bottom w:val="none" w:sz="0" w:space="0" w:color="auto"/>
        <w:right w:val="none" w:sz="0" w:space="0" w:color="auto"/>
      </w:divBdr>
    </w:div>
    <w:div w:id="474569916">
      <w:bodyDiv w:val="1"/>
      <w:marLeft w:val="0"/>
      <w:marRight w:val="0"/>
      <w:marTop w:val="0"/>
      <w:marBottom w:val="0"/>
      <w:divBdr>
        <w:top w:val="none" w:sz="0" w:space="0" w:color="auto"/>
        <w:left w:val="none" w:sz="0" w:space="0" w:color="auto"/>
        <w:bottom w:val="none" w:sz="0" w:space="0" w:color="auto"/>
        <w:right w:val="none" w:sz="0" w:space="0" w:color="auto"/>
      </w:divBdr>
    </w:div>
    <w:div w:id="614291445">
      <w:bodyDiv w:val="1"/>
      <w:marLeft w:val="0"/>
      <w:marRight w:val="0"/>
      <w:marTop w:val="0"/>
      <w:marBottom w:val="0"/>
      <w:divBdr>
        <w:top w:val="none" w:sz="0" w:space="0" w:color="auto"/>
        <w:left w:val="none" w:sz="0" w:space="0" w:color="auto"/>
        <w:bottom w:val="none" w:sz="0" w:space="0" w:color="auto"/>
        <w:right w:val="none" w:sz="0" w:space="0" w:color="auto"/>
      </w:divBdr>
    </w:div>
    <w:div w:id="762997376">
      <w:bodyDiv w:val="1"/>
      <w:marLeft w:val="0"/>
      <w:marRight w:val="0"/>
      <w:marTop w:val="0"/>
      <w:marBottom w:val="0"/>
      <w:divBdr>
        <w:top w:val="none" w:sz="0" w:space="0" w:color="auto"/>
        <w:left w:val="none" w:sz="0" w:space="0" w:color="auto"/>
        <w:bottom w:val="none" w:sz="0" w:space="0" w:color="auto"/>
        <w:right w:val="none" w:sz="0" w:space="0" w:color="auto"/>
      </w:divBdr>
    </w:div>
    <w:div w:id="931858971">
      <w:bodyDiv w:val="1"/>
      <w:marLeft w:val="0"/>
      <w:marRight w:val="0"/>
      <w:marTop w:val="0"/>
      <w:marBottom w:val="0"/>
      <w:divBdr>
        <w:top w:val="none" w:sz="0" w:space="0" w:color="auto"/>
        <w:left w:val="none" w:sz="0" w:space="0" w:color="auto"/>
        <w:bottom w:val="none" w:sz="0" w:space="0" w:color="auto"/>
        <w:right w:val="none" w:sz="0" w:space="0" w:color="auto"/>
      </w:divBdr>
    </w:div>
    <w:div w:id="1390298383">
      <w:bodyDiv w:val="1"/>
      <w:marLeft w:val="0"/>
      <w:marRight w:val="0"/>
      <w:marTop w:val="0"/>
      <w:marBottom w:val="0"/>
      <w:divBdr>
        <w:top w:val="none" w:sz="0" w:space="0" w:color="auto"/>
        <w:left w:val="none" w:sz="0" w:space="0" w:color="auto"/>
        <w:bottom w:val="none" w:sz="0" w:space="0" w:color="auto"/>
        <w:right w:val="none" w:sz="0" w:space="0" w:color="auto"/>
      </w:divBdr>
    </w:div>
    <w:div w:id="1446655027">
      <w:bodyDiv w:val="1"/>
      <w:marLeft w:val="0"/>
      <w:marRight w:val="0"/>
      <w:marTop w:val="0"/>
      <w:marBottom w:val="0"/>
      <w:divBdr>
        <w:top w:val="none" w:sz="0" w:space="0" w:color="auto"/>
        <w:left w:val="none" w:sz="0" w:space="0" w:color="auto"/>
        <w:bottom w:val="none" w:sz="0" w:space="0" w:color="auto"/>
        <w:right w:val="none" w:sz="0" w:space="0" w:color="auto"/>
      </w:divBdr>
    </w:div>
    <w:div w:id="1505969925">
      <w:bodyDiv w:val="1"/>
      <w:marLeft w:val="0"/>
      <w:marRight w:val="0"/>
      <w:marTop w:val="0"/>
      <w:marBottom w:val="0"/>
      <w:divBdr>
        <w:top w:val="none" w:sz="0" w:space="0" w:color="auto"/>
        <w:left w:val="none" w:sz="0" w:space="0" w:color="auto"/>
        <w:bottom w:val="none" w:sz="0" w:space="0" w:color="auto"/>
        <w:right w:val="none" w:sz="0" w:space="0" w:color="auto"/>
      </w:divBdr>
    </w:div>
    <w:div w:id="1539315231">
      <w:bodyDiv w:val="1"/>
      <w:marLeft w:val="0"/>
      <w:marRight w:val="0"/>
      <w:marTop w:val="0"/>
      <w:marBottom w:val="0"/>
      <w:divBdr>
        <w:top w:val="none" w:sz="0" w:space="0" w:color="auto"/>
        <w:left w:val="none" w:sz="0" w:space="0" w:color="auto"/>
        <w:bottom w:val="none" w:sz="0" w:space="0" w:color="auto"/>
        <w:right w:val="none" w:sz="0" w:space="0" w:color="auto"/>
      </w:divBdr>
    </w:div>
    <w:div w:id="1553692549">
      <w:bodyDiv w:val="1"/>
      <w:marLeft w:val="0"/>
      <w:marRight w:val="0"/>
      <w:marTop w:val="0"/>
      <w:marBottom w:val="0"/>
      <w:divBdr>
        <w:top w:val="none" w:sz="0" w:space="0" w:color="auto"/>
        <w:left w:val="none" w:sz="0" w:space="0" w:color="auto"/>
        <w:bottom w:val="none" w:sz="0" w:space="0" w:color="auto"/>
        <w:right w:val="none" w:sz="0" w:space="0" w:color="auto"/>
      </w:divBdr>
    </w:div>
    <w:div w:id="1624918398">
      <w:bodyDiv w:val="1"/>
      <w:marLeft w:val="0"/>
      <w:marRight w:val="0"/>
      <w:marTop w:val="0"/>
      <w:marBottom w:val="0"/>
      <w:divBdr>
        <w:top w:val="none" w:sz="0" w:space="0" w:color="auto"/>
        <w:left w:val="none" w:sz="0" w:space="0" w:color="auto"/>
        <w:bottom w:val="none" w:sz="0" w:space="0" w:color="auto"/>
        <w:right w:val="none" w:sz="0" w:space="0" w:color="auto"/>
      </w:divBdr>
    </w:div>
    <w:div w:id="1658650941">
      <w:bodyDiv w:val="1"/>
      <w:marLeft w:val="0"/>
      <w:marRight w:val="0"/>
      <w:marTop w:val="0"/>
      <w:marBottom w:val="0"/>
      <w:divBdr>
        <w:top w:val="none" w:sz="0" w:space="0" w:color="auto"/>
        <w:left w:val="none" w:sz="0" w:space="0" w:color="auto"/>
        <w:bottom w:val="none" w:sz="0" w:space="0" w:color="auto"/>
        <w:right w:val="none" w:sz="0" w:space="0" w:color="auto"/>
      </w:divBdr>
    </w:div>
    <w:div w:id="1735350587">
      <w:bodyDiv w:val="1"/>
      <w:marLeft w:val="0"/>
      <w:marRight w:val="0"/>
      <w:marTop w:val="0"/>
      <w:marBottom w:val="0"/>
      <w:divBdr>
        <w:top w:val="none" w:sz="0" w:space="0" w:color="auto"/>
        <w:left w:val="none" w:sz="0" w:space="0" w:color="auto"/>
        <w:bottom w:val="none" w:sz="0" w:space="0" w:color="auto"/>
        <w:right w:val="none" w:sz="0" w:space="0" w:color="auto"/>
      </w:divBdr>
    </w:div>
    <w:div w:id="1975671288">
      <w:bodyDiv w:val="1"/>
      <w:marLeft w:val="0"/>
      <w:marRight w:val="0"/>
      <w:marTop w:val="0"/>
      <w:marBottom w:val="0"/>
      <w:divBdr>
        <w:top w:val="none" w:sz="0" w:space="0" w:color="auto"/>
        <w:left w:val="none" w:sz="0" w:space="0" w:color="auto"/>
        <w:bottom w:val="none" w:sz="0" w:space="0" w:color="auto"/>
        <w:right w:val="none" w:sz="0" w:space="0" w:color="auto"/>
      </w:divBdr>
      <w:divsChild>
        <w:div w:id="647243535">
          <w:marLeft w:val="0"/>
          <w:marRight w:val="0"/>
          <w:marTop w:val="0"/>
          <w:marBottom w:val="0"/>
          <w:divBdr>
            <w:top w:val="none" w:sz="0" w:space="0" w:color="auto"/>
            <w:left w:val="none" w:sz="0" w:space="0" w:color="auto"/>
            <w:bottom w:val="none" w:sz="0" w:space="0" w:color="auto"/>
            <w:right w:val="none" w:sz="0" w:space="0" w:color="auto"/>
          </w:divBdr>
          <w:divsChild>
            <w:div w:id="1347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E83E-14E4-4E18-A563-D18F4AB2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3278</Words>
  <Characters>19116</Characters>
  <Application>Microsoft Office Word</Application>
  <DocSecurity>0</DocSecurity>
  <Lines>367</Lines>
  <Paragraphs>174</Paragraphs>
  <ScaleCrop>false</ScaleCrop>
  <HeadingPairs>
    <vt:vector size="2" baseType="variant">
      <vt:variant>
        <vt:lpstr>Title</vt:lpstr>
      </vt:variant>
      <vt:variant>
        <vt:i4>1</vt:i4>
      </vt:variant>
    </vt:vector>
  </HeadingPairs>
  <TitlesOfParts>
    <vt:vector size="1" baseType="lpstr">
      <vt:lpstr>Erasmus Youth Accreditation _call</vt:lpstr>
    </vt:vector>
  </TitlesOfParts>
  <Company>European Commission</Company>
  <LinksUpToDate>false</LinksUpToDate>
  <CharactersWithSpaces>22220</CharactersWithSpaces>
  <SharedDoc>false</SharedDoc>
  <HLinks>
    <vt:vector size="12" baseType="variant">
      <vt:variant>
        <vt:i4>6619240</vt:i4>
      </vt:variant>
      <vt:variant>
        <vt:i4>3</vt:i4>
      </vt:variant>
      <vt:variant>
        <vt:i4>0</vt:i4>
      </vt:variant>
      <vt:variant>
        <vt:i4>5</vt:i4>
      </vt:variant>
      <vt:variant>
        <vt:lpwstr>https://ec.europa.eu/youth/solidarity-corps</vt:lpwstr>
      </vt:variant>
      <vt:variant>
        <vt:lpwstr/>
      </vt:variant>
      <vt:variant>
        <vt:i4>6619240</vt:i4>
      </vt:variant>
      <vt:variant>
        <vt:i4>0</vt:i4>
      </vt:variant>
      <vt:variant>
        <vt:i4>0</vt:i4>
      </vt:variant>
      <vt:variant>
        <vt:i4>5</vt:i4>
      </vt:variant>
      <vt:variant>
        <vt:lpwstr>https://ec.europa.eu/youth/solidarity-corps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Youth Accreditation _call</dc:title>
  <dc:creator>Stephanie.FRANGOU@ec.europa.eu</dc:creator>
  <cp:lastModifiedBy>BURZIC Azra (DGT)</cp:lastModifiedBy>
  <cp:revision>9</cp:revision>
  <cp:lastPrinted>2018-06-27T16:11:00Z</cp:lastPrinted>
  <dcterms:created xsi:type="dcterms:W3CDTF">2020-06-10T20:14:00Z</dcterms:created>
  <dcterms:modified xsi:type="dcterms:W3CDTF">2020-07-10T10:17:00Z</dcterms:modified>
</cp:coreProperties>
</file>