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highlight w:val="cyan"/>
          <w:u w:val="single"/>
        </w:rPr>
        <w:t>Key Action 3 – Structured dialogue in the youth field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1. Travel - </w:t>
      </w:r>
      <w:r>
        <w:rPr>
          <w:rFonts w:ascii="Times New Roman" w:hAnsi="Times New Roman"/>
          <w:b/>
          <w:lang w:val="en-US"/>
        </w:rPr>
        <w:t>Contribution to the travel costs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35"/>
        <w:gridCol w:w="2126"/>
      </w:tblGrid>
      <w:tr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Organisational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Support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</w:rPr>
              <w:t>(in EUR per day)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C1.1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37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former Yugoslav Republic of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Partner Country neighbouring the EU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5E91-D0A7-4374-92A9-3832009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CD041-1EA6-4EC9-B660-1ED35373B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A5073-BEF6-4DE9-8DF5-92594A5A01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DEMEUTER Anne</cp:lastModifiedBy>
  <cp:revision>2</cp:revision>
  <cp:lastPrinted>2016-04-13T08:12:00Z</cp:lastPrinted>
  <dcterms:created xsi:type="dcterms:W3CDTF">2018-03-08T13:49:00Z</dcterms:created>
  <dcterms:modified xsi:type="dcterms:W3CDTF">2018-03-08T13:49:00Z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