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mallCaps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mallCaps/>
          <w:sz w:val="44"/>
          <w:szCs w:val="44"/>
        </w:rPr>
        <w:t>Rates applicable for unit contributions</w:t>
      </w:r>
    </w:p>
    <w:p>
      <w:pPr>
        <w:spacing w:after="0" w:line="240" w:lineRule="auto"/>
        <w:rPr>
          <w:rFonts w:ascii="Times New Roman" w:hAnsi="Times New Roman" w:cs="Times New Roman"/>
          <w:b/>
          <w:smallCaps/>
          <w:sz w:val="36"/>
          <w:szCs w:val="36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t>Key Action 1 – YOUTH - Learning Mobility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>
      <w:pPr>
        <w:spacing w:after="0" w:line="240" w:lineRule="auto"/>
        <w:ind w:left="1134" w:hanging="1134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highlight w:val="yellow"/>
        </w:rPr>
        <w:t>1.Travel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21"/>
        <w:gridCol w:w="4621"/>
      </w:tblGrid>
      <w:tr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Amount</w:t>
            </w:r>
          </w:p>
        </w:tc>
      </w:tr>
      <w:tr>
        <w:trPr>
          <w:trHeight w:val="236"/>
        </w:trPr>
        <w:tc>
          <w:tcPr>
            <w:tcW w:w="2500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 and 99 KM:</w:t>
            </w:r>
          </w:p>
        </w:tc>
        <w:tc>
          <w:tcPr>
            <w:tcW w:w="2500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20 EUR per participant</w:t>
            </w:r>
          </w:p>
        </w:tc>
      </w:tr>
      <w:tr>
        <w:trPr>
          <w:trHeight w:val="236"/>
        </w:trPr>
        <w:tc>
          <w:tcPr>
            <w:tcW w:w="2500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KM:</w:t>
            </w:r>
          </w:p>
        </w:tc>
        <w:tc>
          <w:tcPr>
            <w:tcW w:w="2500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</w:tr>
      <w:tr>
        <w:trPr>
          <w:trHeight w:val="268"/>
        </w:trPr>
        <w:tc>
          <w:tcPr>
            <w:tcW w:w="2500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KM:</w:t>
            </w:r>
          </w:p>
        </w:tc>
        <w:tc>
          <w:tcPr>
            <w:tcW w:w="2500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</w:tr>
      <w:tr>
        <w:trPr>
          <w:trHeight w:val="272"/>
        </w:trPr>
        <w:tc>
          <w:tcPr>
            <w:tcW w:w="2500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KM:</w:t>
            </w:r>
          </w:p>
        </w:tc>
        <w:tc>
          <w:tcPr>
            <w:tcW w:w="2500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</w:tr>
      <w:tr>
        <w:trPr>
          <w:trHeight w:val="262"/>
        </w:trPr>
        <w:tc>
          <w:tcPr>
            <w:tcW w:w="2500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3000 and 3999 KM:</w:t>
            </w:r>
          </w:p>
        </w:tc>
        <w:tc>
          <w:tcPr>
            <w:tcW w:w="2500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</w:tr>
      <w:tr>
        <w:trPr>
          <w:trHeight w:val="280"/>
        </w:trPr>
        <w:tc>
          <w:tcPr>
            <w:tcW w:w="2500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KM:</w:t>
            </w:r>
          </w:p>
        </w:tc>
        <w:tc>
          <w:tcPr>
            <w:tcW w:w="2500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</w:tr>
      <w:tr>
        <w:trPr>
          <w:trHeight w:val="270"/>
        </w:trPr>
        <w:tc>
          <w:tcPr>
            <w:tcW w:w="2500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8000 KM or more:</w:t>
            </w:r>
          </w:p>
        </w:tc>
        <w:tc>
          <w:tcPr>
            <w:tcW w:w="2500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1500 EUR per participant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Nota bene: </w:t>
      </w:r>
      <w:r>
        <w:rPr>
          <w:rFonts w:ascii="Times New Roman" w:hAnsi="Times New Roman"/>
          <w:sz w:val="24"/>
          <w:szCs w:val="24"/>
        </w:rPr>
        <w:tab/>
        <w:t xml:space="preserve">the "travel distance" represents the distance between the place of origin and the venue, whereas the "amount" covers the contribution to the travel both to </w:t>
      </w:r>
      <w:r>
        <w:rPr>
          <w:rFonts w:ascii="Times New Roman" w:hAnsi="Times New Roman"/>
          <w:sz w:val="24"/>
          <w:szCs w:val="24"/>
          <w:u w:val="single"/>
        </w:rPr>
        <w:t>and</w:t>
      </w:r>
      <w:r>
        <w:rPr>
          <w:rFonts w:ascii="Times New Roman" w:hAnsi="Times New Roman"/>
          <w:sz w:val="24"/>
          <w:szCs w:val="24"/>
        </w:rPr>
        <w:t xml:space="preserve"> from the venue.</w:t>
      </w:r>
    </w:p>
    <w:p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1134" w:hanging="1134"/>
      </w:pP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2. Individual support: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Only for </w:t>
      </w:r>
      <w:proofErr w:type="gramStart"/>
      <w:r>
        <w:rPr>
          <w:rFonts w:ascii="Times New Roman" w:hAnsi="Times New Roman" w:cs="Times New Roman"/>
          <w:u w:val="single"/>
        </w:rPr>
        <w:t>Volunteering</w:t>
      </w:r>
      <w:proofErr w:type="gramEnd"/>
      <w:r>
        <w:rPr>
          <w:rFonts w:ascii="Times New Roman" w:hAnsi="Times New Roman" w:cs="Times New Roman"/>
          <w:u w:val="single"/>
        </w:rPr>
        <w:t xml:space="preserve"> projects </w:t>
      </w:r>
    </w:p>
    <w:tbl>
      <w:tblPr>
        <w:tblW w:w="2729" w:type="pct"/>
        <w:jc w:val="center"/>
        <w:tblLook w:val="0000" w:firstRow="0" w:lastRow="0" w:firstColumn="0" w:lastColumn="0" w:noHBand="0" w:noVBand="0"/>
      </w:tblPr>
      <w:tblGrid>
        <w:gridCol w:w="2659"/>
        <w:gridCol w:w="18"/>
        <w:gridCol w:w="2392"/>
      </w:tblGrid>
      <w:tr>
        <w:trPr>
          <w:trHeight w:hRule="exact" w:val="284"/>
          <w:jc w:val="center"/>
        </w:trPr>
        <w:tc>
          <w:tcPr>
            <w:tcW w:w="26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23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spacing w:after="0"/>
              <w:jc w:val="center"/>
              <w:rPr>
                <w:rFonts w:ascii="Calibri" w:hAnsi="Calibri"/>
                <w:b/>
                <w:sz w:val="18"/>
              </w:rPr>
            </w:pPr>
          </w:p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Volunteering activities</w:t>
            </w:r>
          </w:p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(euro per day)</w:t>
            </w:r>
          </w:p>
        </w:tc>
      </w:tr>
      <w:tr>
        <w:trPr>
          <w:trHeight w:hRule="exact" w:val="794"/>
          <w:jc w:val="center"/>
        </w:trPr>
        <w:tc>
          <w:tcPr>
            <w:tcW w:w="26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23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sz w:val="18"/>
              </w:rPr>
            </w:pPr>
          </w:p>
        </w:tc>
      </w:tr>
      <w:tr>
        <w:trPr>
          <w:trHeight w:val="315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Belgium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</w:t>
            </w:r>
          </w:p>
        </w:tc>
      </w:tr>
      <w:tr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Bulgaria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</w:t>
            </w:r>
          </w:p>
        </w:tc>
      </w:tr>
      <w:tr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Czech Republic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</w:t>
            </w:r>
          </w:p>
        </w:tc>
      </w:tr>
      <w:tr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Denmark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</w:t>
            </w:r>
          </w:p>
        </w:tc>
      </w:tr>
      <w:tr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Germany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</w:t>
            </w:r>
          </w:p>
        </w:tc>
      </w:tr>
      <w:tr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Estonia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</w:t>
            </w:r>
          </w:p>
        </w:tc>
      </w:tr>
      <w:tr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Ireland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</w:t>
            </w:r>
          </w:p>
        </w:tc>
      </w:tr>
      <w:tr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Greece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</w:t>
            </w:r>
          </w:p>
        </w:tc>
      </w:tr>
      <w:tr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Spain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</w:t>
            </w:r>
          </w:p>
        </w:tc>
      </w:tr>
      <w:tr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France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</w:t>
            </w:r>
          </w:p>
        </w:tc>
      </w:tr>
      <w:tr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Croatia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</w:t>
            </w:r>
          </w:p>
        </w:tc>
      </w:tr>
      <w:tr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Italy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</w:t>
            </w:r>
          </w:p>
        </w:tc>
      </w:tr>
      <w:tr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Cyprus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</w:t>
            </w:r>
          </w:p>
        </w:tc>
      </w:tr>
      <w:tr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Latvia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</w:t>
            </w:r>
          </w:p>
        </w:tc>
      </w:tr>
      <w:tr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Lithuania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</w:t>
            </w:r>
          </w:p>
        </w:tc>
      </w:tr>
      <w:tr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Luxembourg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</w:t>
            </w:r>
          </w:p>
        </w:tc>
      </w:tr>
      <w:tr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Hungary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</w:t>
            </w:r>
          </w:p>
        </w:tc>
      </w:tr>
      <w:tr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Malta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</w:t>
            </w:r>
          </w:p>
        </w:tc>
      </w:tr>
      <w:tr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Netherlands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</w:t>
            </w:r>
          </w:p>
        </w:tc>
      </w:tr>
      <w:tr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Austria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</w:t>
            </w:r>
          </w:p>
        </w:tc>
      </w:tr>
      <w:tr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lastRenderedPageBreak/>
              <w:t>Poland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</w:t>
            </w:r>
          </w:p>
        </w:tc>
      </w:tr>
      <w:tr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Portugal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</w:t>
            </w:r>
          </w:p>
        </w:tc>
      </w:tr>
      <w:tr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Romania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</w:t>
            </w:r>
          </w:p>
        </w:tc>
      </w:tr>
      <w:tr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Slovenia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</w:t>
            </w:r>
          </w:p>
        </w:tc>
      </w:tr>
      <w:tr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Slovakia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</w:t>
            </w:r>
          </w:p>
        </w:tc>
      </w:tr>
      <w:tr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Finland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</w:t>
            </w:r>
          </w:p>
        </w:tc>
      </w:tr>
      <w:tr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Sweden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</w:t>
            </w:r>
          </w:p>
        </w:tc>
      </w:tr>
      <w:tr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United Kingdom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</w:t>
            </w:r>
          </w:p>
        </w:tc>
      </w:tr>
      <w:tr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former Yugoslav Republic of Macedonia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</w:t>
            </w:r>
          </w:p>
        </w:tc>
      </w:tr>
      <w:tr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Iceland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</w:t>
            </w:r>
          </w:p>
        </w:tc>
      </w:tr>
      <w:tr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Liechtenstein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</w:t>
            </w:r>
          </w:p>
        </w:tc>
      </w:tr>
      <w:tr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Norway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</w:t>
            </w:r>
          </w:p>
        </w:tc>
      </w:tr>
      <w:tr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Turkey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</w:t>
            </w:r>
          </w:p>
        </w:tc>
      </w:tr>
      <w:tr>
        <w:trPr>
          <w:trHeight w:val="306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Partner Country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>
      <w:pPr>
        <w:spacing w:after="0" w:line="240" w:lineRule="auto"/>
        <w:ind w:left="1134" w:hanging="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Organisational support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Projects for which the beneficiary is a public body at regional or national level, an association of regions, a European Grouping of territorial Cooperation or a profit-making body active in Corporate Social Responsibility, the unit contributions specified below are reduced by 50%.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141" w:type="pct"/>
        <w:jc w:val="center"/>
        <w:tblLook w:val="0000" w:firstRow="0" w:lastRow="0" w:firstColumn="0" w:lastColumn="0" w:noHBand="0" w:noVBand="0"/>
      </w:tblPr>
      <w:tblGrid>
        <w:gridCol w:w="2348"/>
        <w:gridCol w:w="14"/>
        <w:gridCol w:w="1915"/>
        <w:gridCol w:w="1758"/>
        <w:gridCol w:w="6"/>
        <w:gridCol w:w="1651"/>
      </w:tblGrid>
      <w:tr>
        <w:trPr>
          <w:cantSplit/>
          <w:trHeight w:val="410"/>
          <w:jc w:val="center"/>
        </w:trPr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djustRightInd w:val="0"/>
              <w:spacing w:before="200"/>
              <w:jc w:val="center"/>
              <w:rPr>
                <w:rFonts w:ascii="Calibri" w:hAnsi="Calibri"/>
              </w:rPr>
            </w:pPr>
          </w:p>
          <w:p>
            <w:pPr>
              <w:autoSpaceDE w:val="0"/>
              <w:adjustRightInd w:val="0"/>
              <w:spacing w:before="200"/>
              <w:jc w:val="center"/>
              <w:rPr>
                <w:rFonts w:ascii="Calibri" w:hAnsi="Calibri"/>
              </w:rPr>
            </w:pPr>
          </w:p>
        </w:tc>
        <w:tc>
          <w:tcPr>
            <w:tcW w:w="12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spacing w:before="20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Youth Exchanges (euro per day)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spacing w:before="20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Mobility of youth workers</w:t>
            </w:r>
          </w:p>
          <w:p>
            <w:pPr>
              <w:autoSpaceDE w:val="0"/>
              <w:adjustRightInd w:val="0"/>
              <w:spacing w:before="20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(euro per day)</w:t>
            </w:r>
          </w:p>
        </w:tc>
        <w:tc>
          <w:tcPr>
            <w:tcW w:w="108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spacing w:before="20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Volunteering activities</w:t>
            </w:r>
          </w:p>
          <w:p>
            <w:pPr>
              <w:autoSpaceDE w:val="0"/>
              <w:adjustRightInd w:val="0"/>
              <w:spacing w:before="20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(euro per day)</w:t>
            </w:r>
          </w:p>
        </w:tc>
      </w:tr>
      <w:tr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Belgium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42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26</w:t>
            </w:r>
          </w:p>
        </w:tc>
      </w:tr>
      <w:tr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Bulgaria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32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53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17</w:t>
            </w:r>
          </w:p>
        </w:tc>
      </w:tr>
      <w:tr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Czech Republic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32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17</w:t>
            </w:r>
          </w:p>
        </w:tc>
      </w:tr>
      <w:tr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Denmark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45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72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26</w:t>
            </w:r>
          </w:p>
        </w:tc>
      </w:tr>
      <w:tr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Germany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41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58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23</w:t>
            </w:r>
          </w:p>
        </w:tc>
      </w:tr>
      <w:tr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Estonia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33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56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18</w:t>
            </w:r>
          </w:p>
        </w:tc>
      </w:tr>
      <w:tr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Ireland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49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74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26</w:t>
            </w:r>
          </w:p>
        </w:tc>
      </w:tr>
      <w:tr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Greece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38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71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21</w:t>
            </w:r>
          </w:p>
        </w:tc>
      </w:tr>
      <w:tr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Spain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34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18</w:t>
            </w:r>
          </w:p>
        </w:tc>
      </w:tr>
      <w:tr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France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38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66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20</w:t>
            </w:r>
          </w:p>
        </w:tc>
      </w:tr>
      <w:tr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Croatia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35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62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19</w:t>
            </w:r>
          </w:p>
        </w:tc>
      </w:tr>
      <w:tr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Italy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39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66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21</w:t>
            </w:r>
          </w:p>
        </w:tc>
      </w:tr>
      <w:tr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Cyprus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32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58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21</w:t>
            </w:r>
          </w:p>
        </w:tc>
      </w:tr>
      <w:tr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Latvia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34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59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19</w:t>
            </w:r>
          </w:p>
        </w:tc>
      </w:tr>
      <w:tr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Lithuania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34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58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18</w:t>
            </w:r>
          </w:p>
        </w:tc>
      </w:tr>
      <w:tr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Luxembourg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45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66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26</w:t>
            </w:r>
          </w:p>
        </w:tc>
      </w:tr>
      <w:tr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Hungary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33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17</w:t>
            </w:r>
          </w:p>
        </w:tc>
      </w:tr>
      <w:tr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Malta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39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22</w:t>
            </w:r>
          </w:p>
        </w:tc>
      </w:tr>
      <w:tr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Netherlands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45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69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26</w:t>
            </w:r>
          </w:p>
        </w:tc>
      </w:tr>
      <w:tr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lastRenderedPageBreak/>
              <w:t>Austria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45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23</w:t>
            </w:r>
          </w:p>
        </w:tc>
      </w:tr>
      <w:tr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Poland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34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59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18</w:t>
            </w:r>
          </w:p>
        </w:tc>
      </w:tr>
      <w:tr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Portugal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37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20</w:t>
            </w:r>
          </w:p>
        </w:tc>
      </w:tr>
      <w:tr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Romania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32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17</w:t>
            </w:r>
          </w:p>
        </w:tc>
      </w:tr>
      <w:tr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Slovenia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34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20</w:t>
            </w:r>
          </w:p>
        </w:tc>
      </w:tr>
      <w:tr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Slovakia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35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19</w:t>
            </w:r>
          </w:p>
        </w:tc>
      </w:tr>
      <w:tr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Finland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45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71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26</w:t>
            </w:r>
          </w:p>
        </w:tc>
      </w:tr>
      <w:tr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Sweden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45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70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26</w:t>
            </w:r>
          </w:p>
        </w:tc>
      </w:tr>
      <w:tr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United Kingdom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45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76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26</w:t>
            </w:r>
          </w:p>
        </w:tc>
      </w:tr>
      <w:tr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former Yugoslav Republic of Macedonia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28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15</w:t>
            </w:r>
          </w:p>
        </w:tc>
      </w:tr>
      <w:tr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Iceland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45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71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26</w:t>
            </w:r>
          </w:p>
        </w:tc>
      </w:tr>
      <w:tr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Liechtenstein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45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74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24</w:t>
            </w:r>
          </w:p>
        </w:tc>
      </w:tr>
      <w:tr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Norway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50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74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26</w:t>
            </w:r>
          </w:p>
        </w:tc>
      </w:tr>
      <w:tr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Turkey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32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17</w:t>
            </w:r>
          </w:p>
        </w:tc>
      </w:tr>
      <w:tr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Partner Country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29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48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15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Nota bene (only for Youth workers mobility): </w:t>
      </w:r>
      <w:r>
        <w:rPr>
          <w:rFonts w:ascii="Times New Roman" w:hAnsi="Times New Roman"/>
          <w:sz w:val="24"/>
          <w:szCs w:val="24"/>
        </w:rPr>
        <w:t>The grant for organisational support will be calculated as an amount per day per participant up to maximum 1100 euro per participant regardless of the actual mobility duration.</w:t>
      </w:r>
    </w:p>
    <w:p>
      <w:pPr>
        <w:spacing w:after="0" w:line="240" w:lineRule="auto"/>
        <w:ind w:left="1134" w:hanging="1134"/>
        <w:rPr>
          <w:rFonts w:ascii="Times New Roman" w:hAnsi="Times New Roman"/>
          <w:b/>
          <w:sz w:val="24"/>
          <w:szCs w:val="24"/>
          <w:highlight w:val="yellow"/>
        </w:rPr>
      </w:pPr>
    </w:p>
    <w:p>
      <w:pPr>
        <w:spacing w:after="0" w:line="240" w:lineRule="auto"/>
        <w:ind w:left="1134" w:hanging="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4. Linguistic support: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For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Volunteering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projects [</w:t>
      </w:r>
      <w:r>
        <w:rPr>
          <w:rFonts w:ascii="Times New Roman" w:hAnsi="Times New Roman"/>
          <w:sz w:val="24"/>
          <w:szCs w:val="24"/>
          <w:highlight w:val="lightGray"/>
          <w:u w:val="single"/>
        </w:rPr>
        <w:t>only for languages not covered by OLS</w:t>
      </w:r>
      <w:r>
        <w:rPr>
          <w:rFonts w:ascii="Times New Roman" w:hAnsi="Times New Roman"/>
          <w:sz w:val="24"/>
          <w:szCs w:val="24"/>
          <w:u w:val="single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150 EUR per participant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sectPr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25CF6"/>
    <w:multiLevelType w:val="hybridMultilevel"/>
    <w:tmpl w:val="1F62628C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6B36F-6565-43A4-A852-669B93E0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Rvision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Year xmlns="cfd06d9f-862c-4359-9a69-c66ff689f26a">2018</Year>
    <Leader_x0020__x0028_unit_x0029_ xmlns="cfd06d9f-862c-4359-9a69-c66ff689f26a">B3</Leader_x0020__x0028_unit_x0029_>
    <Leader_x0020__x0028_staff_x0020_member_x0029_ xmlns="cfd06d9f-862c-4359-9a69-c66ff689f26a">MHM</Leader_x0020__x0028_staff_x0020_member_x0029_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58113-DEDB-4728-AED2-554BB338C30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fd06d9f-862c-4359-9a69-c66ff689f26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245BE6-4DDA-4967-B62A-F6484D3BA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823B30-8810-486C-96AD-11160B60A5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8ED0A3-AEAD-4F7F-BD78-331385D9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2222</Characters>
  <Application>Microsoft Office Word</Application>
  <DocSecurity>4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DEMEUTER Anne</cp:lastModifiedBy>
  <cp:revision>2</cp:revision>
  <cp:lastPrinted>2016-04-13T08:12:00Z</cp:lastPrinted>
  <dcterms:created xsi:type="dcterms:W3CDTF">2018-03-08T13:47:00Z</dcterms:created>
  <dcterms:modified xsi:type="dcterms:W3CDTF">2018-03-08T13:47:00Z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